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91" w:rsidRDefault="006F0791" w:rsidP="00AE5DD6">
      <w:pPr>
        <w:pStyle w:val="papersubtitle"/>
        <w:bidi/>
        <w:rPr>
          <w:rFonts w:hint="cs"/>
          <w:i/>
          <w:iCs/>
          <w:sz w:val="48"/>
          <w:szCs w:val="48"/>
          <w:rtl/>
          <w:lang w:bidi="ar-EG"/>
        </w:rPr>
      </w:pPr>
    </w:p>
    <w:p w:rsidR="000C4416" w:rsidRPr="00D01C0B" w:rsidRDefault="004C1237" w:rsidP="004C1237">
      <w:pPr>
        <w:pStyle w:val="papersubtitle"/>
        <w:bidi/>
        <w:rPr>
          <w:i/>
          <w:iCs/>
          <w:sz w:val="48"/>
          <w:szCs w:val="48"/>
          <w:rtl/>
        </w:rPr>
      </w:pPr>
      <w:r w:rsidRPr="004C1237">
        <w:rPr>
          <w:i/>
          <w:iCs/>
          <w:sz w:val="48"/>
          <w:szCs w:val="48"/>
          <w:rtl/>
        </w:rPr>
        <w:t>ظنَّ بين الإعمال والإهمال</w:t>
      </w:r>
    </w:p>
    <w:p w:rsidR="00FD7D36" w:rsidRDefault="000C4416" w:rsidP="005426F1">
      <w:pPr>
        <w:pStyle w:val="papersubtitle"/>
        <w:bidi/>
        <w:rPr>
          <w:rtl/>
        </w:rPr>
      </w:pPr>
      <w:r>
        <w:rPr>
          <w:rFonts w:hint="cs"/>
          <w:i/>
          <w:iCs/>
          <w:rtl/>
        </w:rPr>
        <w:t>بحث في</w:t>
      </w:r>
      <w:r w:rsidR="00D01C0B">
        <w:rPr>
          <w:rFonts w:hint="cs"/>
          <w:i/>
          <w:iCs/>
          <w:rtl/>
        </w:rPr>
        <w:t xml:space="preserve"> </w:t>
      </w:r>
      <w:r w:rsidR="00D01C0B">
        <w:rPr>
          <w:i/>
          <w:iCs/>
        </w:rPr>
        <w:t xml:space="preserve"> </w:t>
      </w:r>
      <w:r w:rsidR="005426F1">
        <w:rPr>
          <w:rFonts w:hint="cs"/>
          <w:i/>
          <w:iCs/>
          <w:rtl/>
          <w:lang w:bidi="ar-EG"/>
        </w:rPr>
        <w:t>النحو</w:t>
      </w:r>
    </w:p>
    <w:p w:rsidR="00FD7D36" w:rsidRDefault="00FD7D36" w:rsidP="00E5535F">
      <w:pPr>
        <w:bidi/>
        <w:sectPr w:rsidR="00FD7D36">
          <w:pgSz w:w="11906" w:h="16838"/>
          <w:pgMar w:top="1080" w:right="737" w:bottom="2432" w:left="737" w:header="720" w:footer="720" w:gutter="0"/>
          <w:cols w:space="720"/>
          <w:docGrid w:linePitch="360"/>
        </w:sectPr>
      </w:pPr>
    </w:p>
    <w:p w:rsidR="00FD7D36" w:rsidRDefault="00531265" w:rsidP="00B44650">
      <w:pPr>
        <w:pStyle w:val="Author"/>
        <w:bidi/>
        <w:rPr>
          <w:rFonts w:eastAsia="Times New Roman"/>
          <w:lang w:bidi="ar-EG"/>
        </w:rPr>
      </w:pPr>
      <w:r>
        <w:rPr>
          <w:rFonts w:hint="cs"/>
          <w:i/>
          <w:iCs/>
          <w:rtl/>
        </w:rPr>
        <w:lastRenderedPageBreak/>
        <w:t>إعداد</w:t>
      </w:r>
      <w:r w:rsidR="00F90E05">
        <w:rPr>
          <w:rFonts w:hint="cs"/>
          <w:i/>
          <w:iCs/>
          <w:rtl/>
        </w:rPr>
        <w:t xml:space="preserve">/ </w:t>
      </w:r>
      <w:r w:rsidR="00B44650" w:rsidRPr="00B44650">
        <w:rPr>
          <w:i/>
          <w:iCs/>
          <w:rtl/>
          <w:lang w:bidi="ar-EG"/>
        </w:rPr>
        <w:t>شيماء عبد المجيد محمد زهران</w:t>
      </w:r>
    </w:p>
    <w:p w:rsidR="00FD7D36" w:rsidRDefault="00F90E05" w:rsidP="00810915">
      <w:pPr>
        <w:pStyle w:val="Affiliation"/>
        <w:bidi/>
        <w:rPr>
          <w:rFonts w:eastAsia="Times New Roman"/>
        </w:rPr>
      </w:pPr>
      <w:r>
        <w:rPr>
          <w:rFonts w:hint="cs"/>
          <w:i/>
          <w:iCs/>
          <w:rtl/>
        </w:rPr>
        <w:t>قسم</w:t>
      </w:r>
      <w:r w:rsidR="00C42C06">
        <w:rPr>
          <w:rFonts w:hint="cs"/>
          <w:i/>
          <w:iCs/>
          <w:rtl/>
        </w:rPr>
        <w:t xml:space="preserve"> </w:t>
      </w:r>
      <w:r w:rsidR="00810915">
        <w:rPr>
          <w:rFonts w:hint="cs"/>
          <w:i/>
          <w:iCs/>
          <w:rtl/>
        </w:rPr>
        <w:t>اللغة العربية</w:t>
      </w:r>
      <w:r w:rsidR="006226AB">
        <w:rPr>
          <w:rFonts w:hint="cs"/>
          <w:i/>
          <w:iCs/>
          <w:rtl/>
        </w:rPr>
        <w:t xml:space="preserve"> </w:t>
      </w:r>
    </w:p>
    <w:p w:rsidR="00FD7D36" w:rsidRDefault="00F90E05" w:rsidP="005426F1">
      <w:pPr>
        <w:pStyle w:val="Affiliation"/>
        <w:bidi/>
      </w:pPr>
      <w:r>
        <w:rPr>
          <w:rFonts w:hint="cs"/>
          <w:i/>
          <w:iCs/>
          <w:rtl/>
        </w:rPr>
        <w:t xml:space="preserve">كلية </w:t>
      </w:r>
      <w:r w:rsidR="005426F1">
        <w:rPr>
          <w:rFonts w:hint="cs"/>
          <w:i/>
          <w:iCs/>
          <w:rtl/>
        </w:rPr>
        <w:t>العلوم الاسلامية</w:t>
      </w:r>
      <w:r>
        <w:rPr>
          <w:rFonts w:hint="cs"/>
          <w:i/>
          <w:iCs/>
          <w:rtl/>
        </w:rPr>
        <w:t xml:space="preserve"> </w:t>
      </w:r>
      <w:r>
        <w:rPr>
          <w:i/>
          <w:iCs/>
          <w:rtl/>
        </w:rPr>
        <w:t>–</w:t>
      </w:r>
      <w:r>
        <w:rPr>
          <w:rFonts w:hint="cs"/>
          <w:i/>
          <w:iCs/>
          <w:rtl/>
        </w:rPr>
        <w:t xml:space="preserve"> جامعة المدينة العالمية</w:t>
      </w:r>
      <w:r w:rsidR="00FD7D36">
        <w:rPr>
          <w:rFonts w:eastAsia="Times New Roman"/>
          <w:i/>
          <w:iCs/>
        </w:rPr>
        <w:t xml:space="preserve"> </w:t>
      </w:r>
    </w:p>
    <w:p w:rsidR="00FD7D36" w:rsidRDefault="00F90E05" w:rsidP="00E5535F">
      <w:pPr>
        <w:pStyle w:val="Affiliation"/>
        <w:bidi/>
        <w:rPr>
          <w:rtl/>
        </w:rPr>
      </w:pPr>
      <w:r>
        <w:rPr>
          <w:rFonts w:hint="cs"/>
          <w:rtl/>
        </w:rPr>
        <w:t>شاه علم - ماليزيا</w:t>
      </w:r>
    </w:p>
    <w:p w:rsidR="00FD7D36" w:rsidRDefault="00B44650" w:rsidP="00D01C0B">
      <w:pPr>
        <w:pStyle w:val="Affiliation"/>
        <w:bidi/>
      </w:pPr>
      <w:r w:rsidRPr="00B44650">
        <w:rPr>
          <w:i/>
          <w:iCs/>
          <w:lang w:bidi="ar-EG"/>
        </w:rPr>
        <w:t>shaimaa.abdelmajeed@mediu.ws</w:t>
      </w:r>
    </w:p>
    <w:p w:rsidR="00FD7D36" w:rsidRPr="00F90E05" w:rsidRDefault="00FD7D36" w:rsidP="00E5535F">
      <w:pPr>
        <w:pStyle w:val="Affiliation"/>
        <w:bidi/>
        <w:jc w:val="both"/>
        <w:rPr>
          <w:color w:val="FF0000"/>
        </w:rPr>
        <w:sectPr w:rsidR="00FD7D36" w:rsidRPr="00F90E05" w:rsidSect="003B5B7D">
          <w:type w:val="continuous"/>
          <w:pgSz w:w="11906" w:h="16838"/>
          <w:pgMar w:top="1080" w:right="737" w:bottom="2432" w:left="737" w:header="720" w:footer="720" w:gutter="0"/>
          <w:cols w:space="566"/>
          <w:bidi/>
          <w:docGrid w:linePitch="360"/>
        </w:sectPr>
      </w:pPr>
    </w:p>
    <w:p w:rsidR="00FD7D36" w:rsidRDefault="00FD7D36" w:rsidP="00E5535F">
      <w:pPr>
        <w:pStyle w:val="Affiliation"/>
        <w:bidi/>
      </w:pPr>
    </w:p>
    <w:p w:rsidR="00FD7D36" w:rsidRDefault="00FD7D36" w:rsidP="00E5535F">
      <w:pPr>
        <w:bidi/>
      </w:pPr>
    </w:p>
    <w:p w:rsidR="00FD7D36" w:rsidRDefault="00FD7D36" w:rsidP="00E5535F">
      <w:pPr>
        <w:bidi/>
        <w:sectPr w:rsidR="00FD7D36" w:rsidSect="00251720">
          <w:type w:val="continuous"/>
          <w:pgSz w:w="11906" w:h="16838"/>
          <w:pgMar w:top="1080" w:right="737" w:bottom="2432" w:left="737" w:header="720" w:footer="720" w:gutter="0"/>
          <w:cols w:space="720"/>
          <w:bidi/>
          <w:docGrid w:linePitch="360"/>
        </w:sectPr>
      </w:pPr>
    </w:p>
    <w:p w:rsidR="00FD7D36" w:rsidRPr="004C1237" w:rsidRDefault="00E5535F" w:rsidP="004C1237">
      <w:pPr>
        <w:pStyle w:val="papersubtitle"/>
        <w:bidi/>
        <w:jc w:val="both"/>
        <w:rPr>
          <w:rFonts w:eastAsia="SimSun"/>
          <w:sz w:val="20"/>
          <w:szCs w:val="20"/>
          <w:rtl/>
          <w:lang w:eastAsia="zh-CN"/>
        </w:rPr>
      </w:pPr>
      <w:r w:rsidRPr="008D571F">
        <w:rPr>
          <w:rFonts w:eastAsia="SimSun" w:hint="cs"/>
          <w:b/>
          <w:bCs/>
          <w:sz w:val="18"/>
          <w:szCs w:val="18"/>
          <w:rtl/>
        </w:rPr>
        <w:lastRenderedPageBreak/>
        <w:t>خلاصة</w:t>
      </w:r>
      <w:r w:rsidR="00FD7D36" w:rsidRPr="008D571F">
        <w:rPr>
          <w:rFonts w:eastAsia="SimSun"/>
          <w:b/>
          <w:bCs/>
          <w:sz w:val="18"/>
          <w:szCs w:val="18"/>
        </w:rPr>
        <w:t>—</w:t>
      </w:r>
      <w:r w:rsidR="000C4416" w:rsidRPr="008D571F">
        <w:rPr>
          <w:rFonts w:eastAsia="SimSun" w:hint="cs"/>
          <w:b/>
          <w:bCs/>
          <w:sz w:val="18"/>
          <w:szCs w:val="18"/>
          <w:rtl/>
        </w:rPr>
        <w:t xml:space="preserve">هذا البحث يبحث في </w:t>
      </w:r>
      <w:r w:rsidR="004C1237" w:rsidRPr="004C1237">
        <w:rPr>
          <w:rFonts w:eastAsia="SimSun"/>
          <w:sz w:val="20"/>
          <w:szCs w:val="20"/>
          <w:rtl/>
          <w:lang w:eastAsia="zh-CN"/>
        </w:rPr>
        <w:t>ظنَّ بين الإعمال والإهمال</w:t>
      </w:r>
      <w:r w:rsidR="008D571F" w:rsidRPr="004C1237">
        <w:rPr>
          <w:rFonts w:eastAsia="SimSun" w:hint="cs"/>
          <w:sz w:val="20"/>
          <w:szCs w:val="20"/>
          <w:rtl/>
          <w:lang w:eastAsia="zh-CN"/>
        </w:rPr>
        <w:t>.</w:t>
      </w:r>
    </w:p>
    <w:p w:rsidR="00FD7D36" w:rsidRDefault="00E5535F" w:rsidP="00A9004C">
      <w:pPr>
        <w:pStyle w:val="keywords"/>
        <w:bidi/>
        <w:ind w:firstLine="180"/>
        <w:rPr>
          <w:rtl/>
        </w:rPr>
      </w:pPr>
      <w:r>
        <w:rPr>
          <w:rFonts w:hint="cs"/>
          <w:i/>
          <w:rtl/>
          <w:lang w:eastAsia="zh-CN"/>
        </w:rPr>
        <w:t>الكلمات المفتاحية</w:t>
      </w:r>
      <w:r w:rsidRPr="00455C43">
        <w:rPr>
          <w:rFonts w:hint="cs"/>
          <w:i/>
          <w:rtl/>
          <w:lang w:eastAsia="zh-CN"/>
        </w:rPr>
        <w:t>:</w:t>
      </w:r>
      <w:r w:rsidR="00726A4B">
        <w:rPr>
          <w:rFonts w:hint="cs"/>
          <w:i/>
          <w:rtl/>
          <w:lang w:eastAsia="zh-CN"/>
        </w:rPr>
        <w:t xml:space="preserve"> </w:t>
      </w:r>
      <w:r w:rsidR="003C7F85">
        <w:rPr>
          <w:rFonts w:hint="cs"/>
          <w:i/>
          <w:rtl/>
          <w:lang w:eastAsia="zh-CN"/>
        </w:rPr>
        <w:t>الأفعال، العرب، الأساليب</w:t>
      </w:r>
    </w:p>
    <w:p w:rsidR="00810915" w:rsidRDefault="00810915" w:rsidP="00810915">
      <w:pPr>
        <w:pStyle w:val="1"/>
        <w:numPr>
          <w:ilvl w:val="0"/>
          <w:numId w:val="11"/>
        </w:numPr>
        <w:tabs>
          <w:tab w:val="clear" w:pos="216"/>
          <w:tab w:val="clear" w:pos="283"/>
          <w:tab w:val="clear" w:pos="340"/>
          <w:tab w:val="clear" w:pos="397"/>
        </w:tabs>
        <w:bidi/>
        <w:ind w:left="716" w:hanging="140"/>
        <w:rPr>
          <w:b/>
          <w:bCs/>
          <w:rtl/>
        </w:rPr>
      </w:pPr>
      <w:r w:rsidRPr="00E5535F">
        <w:rPr>
          <w:rFonts w:hint="cs"/>
          <w:b/>
          <w:bCs/>
          <w:i/>
          <w:iCs/>
          <w:rtl/>
        </w:rPr>
        <w:t>المقدمة</w:t>
      </w:r>
    </w:p>
    <w:p w:rsidR="0007783C" w:rsidRPr="008D571F" w:rsidRDefault="00AE5DD6" w:rsidP="004C1237">
      <w:pPr>
        <w:pStyle w:val="Abstract"/>
        <w:bidi/>
        <w:spacing w:after="0"/>
        <w:ind w:firstLine="173"/>
        <w:rPr>
          <w:rtl/>
          <w:lang w:eastAsia="en-US"/>
        </w:rPr>
      </w:pPr>
      <w:r>
        <w:rPr>
          <w:rFonts w:hint="cs"/>
          <w:rtl/>
          <w:lang w:eastAsia="en-US"/>
        </w:rPr>
        <w:t xml:space="preserve">معرفة </w:t>
      </w:r>
      <w:r w:rsidR="00444EE2" w:rsidRPr="005D225A">
        <w:rPr>
          <w:rFonts w:hint="cs"/>
          <w:rtl/>
          <w:lang w:eastAsia="en-US"/>
        </w:rPr>
        <w:t xml:space="preserve">أسس </w:t>
      </w:r>
      <w:r w:rsidR="004C1237" w:rsidRPr="004C1237">
        <w:rPr>
          <w:rtl/>
          <w:lang w:eastAsia="en-US"/>
        </w:rPr>
        <w:t>ظنَّ بين الإعمال والإهمال</w:t>
      </w:r>
      <w:r w:rsidR="00256261">
        <w:rPr>
          <w:rFonts w:hint="cs"/>
          <w:rtl/>
          <w:lang w:eastAsia="en-US"/>
        </w:rPr>
        <w:t xml:space="preserve">، : ذكر سيبويه أفعال </w:t>
      </w:r>
      <w:r w:rsidR="00256261" w:rsidRPr="00A9004C">
        <w:rPr>
          <w:rFonts w:hint="cs"/>
          <w:rtl/>
          <w:lang w:eastAsia="en-US"/>
        </w:rPr>
        <w:t>باب</w:t>
      </w:r>
      <w:r w:rsidR="00256261">
        <w:rPr>
          <w:rFonts w:hint="cs"/>
          <w:rtl/>
          <w:lang w:eastAsia="en-US"/>
        </w:rPr>
        <w:t xml:space="preserve"> "</w:t>
      </w:r>
      <w:r w:rsidR="00256261" w:rsidRPr="00256261">
        <w:rPr>
          <w:rFonts w:hint="cs"/>
          <w:rtl/>
          <w:lang w:eastAsia="en-US"/>
        </w:rPr>
        <w:t xml:space="preserve"> </w:t>
      </w:r>
      <w:r w:rsidR="00256261" w:rsidRPr="00A9004C">
        <w:rPr>
          <w:rFonts w:hint="cs"/>
          <w:rtl/>
          <w:lang w:eastAsia="en-US"/>
        </w:rPr>
        <w:t>الأفعال التي تستعمل وتلغى</w:t>
      </w:r>
      <w:r w:rsidR="00256261">
        <w:rPr>
          <w:rFonts w:hint="cs"/>
          <w:rtl/>
          <w:lang w:eastAsia="en-US"/>
        </w:rPr>
        <w:t>"</w:t>
      </w:r>
      <w:r w:rsidR="00256261" w:rsidRPr="00A9004C">
        <w:rPr>
          <w:rFonts w:hint="cs"/>
          <w:rtl/>
          <w:lang w:eastAsia="en-US"/>
        </w:rPr>
        <w:t xml:space="preserve"> مسندة إلى أفعالها، هذه الأفعال. ومعنى ذلك: أنَّ الرجل لم يقل: ظن، وحسب، وخال، وأرى، ورأى، وزعم. وإنما قال: ظننتُ، وحسبتُ، أي: أنه ذكرها منسوبة إلى فاعلي</w:t>
      </w:r>
      <w:r w:rsidR="00256261">
        <w:rPr>
          <w:rFonts w:hint="cs"/>
          <w:rtl/>
          <w:lang w:eastAsia="en-US"/>
        </w:rPr>
        <w:t>ها، الأفعال منسوبة إلى الفاعلين</w:t>
      </w:r>
      <w:r w:rsidR="003D1747">
        <w:rPr>
          <w:rFonts w:hint="cs"/>
          <w:rtl/>
          <w:lang w:eastAsia="en-US"/>
        </w:rPr>
        <w:t>.</w:t>
      </w:r>
    </w:p>
    <w:p w:rsidR="0007783C" w:rsidRDefault="0007783C" w:rsidP="0007783C">
      <w:pPr>
        <w:pStyle w:val="Abstract"/>
        <w:bidi/>
        <w:spacing w:after="0"/>
        <w:ind w:firstLine="173"/>
        <w:rPr>
          <w:b w:val="0"/>
          <w:bCs w:val="0"/>
          <w:rtl/>
        </w:rPr>
      </w:pPr>
    </w:p>
    <w:p w:rsidR="00FD7D36" w:rsidRPr="0007783C" w:rsidRDefault="00E5535F" w:rsidP="00810915">
      <w:pPr>
        <w:pStyle w:val="Abstract"/>
        <w:numPr>
          <w:ilvl w:val="0"/>
          <w:numId w:val="11"/>
        </w:numPr>
        <w:bidi/>
        <w:spacing w:after="0"/>
        <w:ind w:left="716" w:hanging="140"/>
        <w:jc w:val="center"/>
        <w:rPr>
          <w:i/>
          <w:iCs/>
          <w:smallCaps/>
          <w:sz w:val="20"/>
          <w:szCs w:val="20"/>
          <w:rtl/>
          <w:lang w:eastAsia="en-US"/>
        </w:rPr>
      </w:pPr>
      <w:r w:rsidRPr="0007783C">
        <w:rPr>
          <w:rFonts w:hint="cs"/>
          <w:i/>
          <w:iCs/>
          <w:smallCaps/>
          <w:sz w:val="20"/>
          <w:szCs w:val="20"/>
          <w:rtl/>
          <w:lang w:eastAsia="en-US"/>
        </w:rPr>
        <w:t>المقالة</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هذا باب: الأفعال التي تستعمل وتلغى.</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بهذا وضع سيبويه العنوان الذي طفنا حوله، ونحن الآن في تطبيقات فيه هي النحو ذاته؛ ذلك لأنَّ النحو باعتباره قواعد صماء لا يسمن ولا يغني من علم، ولا يعين لسانًا على صحة، ولا يصوب من خطأ، ولا يأخذ بعنان، إلى حيث الأمان.</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 xml:space="preserve">من ثم، كان لزامًا علينا أن نقرأ الكتاب على رويّة فهو كما وصفه شيخنا المرحوم محمد بن عبد الخالق عضيمة: "كالدوحة الباسقة، وجميع ما ألف بعده بمثابة الغصون له والفروع، فأكرم بدوحتنا الباسقة، وأكرم بفروعها وغصونها". </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 xml:space="preserve">لو سألتك هذا السؤال: ما سر بناء تُستعمل وتُلغى للمجهول في عنوان الباب؟ </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الحق أنَّك تتأمل قليلًا، ثم تنظر في الأصل الأصيل الذي يستعمل فيه الفعل الذي يكون مع الفاعل أصلي الصيغة، إذن فالأصل الأصيل لـ"تستعمل" يستعملها المتكلم، والأصل الأصيل لـ"تلغى"، يلغيها المتكلم.</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معنى ذلك أنَّ سيبويه يراعي في العنوان جانبين:</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الجانب الأول: جانب المتكلم.</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الجانب الثاني: جانب الكلام.</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ومعنى الربط بين الجانبين أنَّه لا متكلم بلا كلام، ولا كلام إلا بمتكلم، فما أشد ارتباط المتكلم بكلامه، والمتكلم قاصد والكلام وسيلة للمقصود. فانظر كيف جمع سيبويه بين حي ينطق، وبين حي منطوق به، في عنوانٍ قليلة كلماته، وهذا باب: الأفعال التي تستعمل وتلغى.</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أي: هذا باب: الأفعال التي تستعملها -أنت أيها المتحدث بالعربية- والتي تلغيها أنت -أيها المريد إلغاءها- ونحن نريك هذه الأفعال ونكشف اللثام عن حقيقة إعمالها حتى تُعملها، وعن حقيقة إلغائها حتى تلغيها.</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ما الأفعال التي ذكرها سيبويه في هذا الباب؟</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الجواب: إنها ظننت، وحسبت، وخلت، وأُريت، ورأيت، وزعمت، وما يتصرف من أفعالهن.</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ما سر قوله: أفعالهن، بنون النسوة؟</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الجواب: سيبويه يقول: وما يتصرف من أفعالهن. فهل يجوز لنا من بعده أن نقول: وما يتصرف من أفعالها؟</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 xml:space="preserve">الجواب: نعم، ولا يتعجلن أحد ويقول: قال سيبويه: من أفعالهن، فلا يجوز أبدًا أن أقول من أفعالها، فيذكرنا بهذا الأحمق الذي وجده الفراء ذات يوم في السوق، فسأله: بكم تبيع الثوب؟ فقال الأحمق: بدرهمان. فقال الفراء: لا تقل هذا، وإنما قل: بدرهمين، وإذا </w:t>
      </w:r>
      <w:r w:rsidRPr="00A9004C">
        <w:rPr>
          <w:rFonts w:hint="cs"/>
          <w:rtl/>
          <w:lang w:eastAsia="en-US"/>
        </w:rPr>
        <w:lastRenderedPageBreak/>
        <w:t>بالأحمق يثور في وجه العلامة الفراء ويقول له: ما شأنك بهذا وما سبيلك إليه، لقد سمعت سيبويه يقول: ثمنُها درهمان. فضحك الفراء وقال: أيشٍ؛ تغير وجه الكلام.</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ومن قول الفراء: تغير وجه الكلام يستفاد، وأنت خير من يستفيد يا باحث عن المعدن في أصله، تعلم أنه يستفاد من قول سيبويه: ثمنها درهمان. أن الكلام صحيح للرفع، فإذا ما تغير وجه الكلام، فدخل عامل يقتضي جره؛ فكان على الأحمق أن يقول كما قال الفراء: بدرهمين؛ لأن الباء جارة. اللهم إلا إذا أتى أحدكم بما لم يكن يعرفه ذلك الأحمق، فخرّج كلامه على لغة من يلزم المثنى الألف في الأحوال الثلاثة، وهذا مجال خصيب رحيب جميل.</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المهم أنك تستطيع أن تقول: من أفعالها، وتستطيع أن تحاكي سيبويه فتقول: من أفعالهن بنون النسوة. فما القاعدة؟</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القاعدة: أن غير العاقل يعبر عنه بنون النسوة أو بهاء الغيبة المؤنثة.</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 xml:space="preserve">المهم ألا تقول: وما يتصرف من أفعالهم. فهذا لا يجوز بحال؛ لأنك يمكنك أن تقول: ما يتصرف من أفعال العرب كثير، فإذا بدأت بالعرب قلت: يتصرف من أفعالهم: كان، مثلًا فمضارعه يكون، وأمره كن، ومصدره كون، ويعمل المصدر عمل الفعل، كما قال الشاعر: </w:t>
      </w:r>
    </w:p>
    <w:tbl>
      <w:tblPr>
        <w:bidiVisual/>
        <w:tblW w:w="0" w:type="auto"/>
        <w:jc w:val="center"/>
        <w:tblLook w:val="01E0"/>
      </w:tblPr>
      <w:tblGrid>
        <w:gridCol w:w="2306"/>
        <w:gridCol w:w="608"/>
        <w:gridCol w:w="2338"/>
      </w:tblGrid>
      <w:tr w:rsidR="00A9004C" w:rsidRPr="00A9004C" w:rsidTr="00570248">
        <w:trPr>
          <w:trHeight w:hRule="exact" w:val="324"/>
          <w:jc w:val="center"/>
        </w:trPr>
        <w:tc>
          <w:tcPr>
            <w:tcW w:w="2909" w:type="dxa"/>
            <w:vAlign w:val="center"/>
          </w:tcPr>
          <w:p w:rsidR="00A9004C" w:rsidRPr="00A9004C" w:rsidRDefault="00A9004C" w:rsidP="00A9004C">
            <w:pPr>
              <w:pStyle w:val="Abstract"/>
              <w:bidi/>
              <w:spacing w:after="0" w:line="240" w:lineRule="exact"/>
              <w:ind w:firstLine="173"/>
              <w:rPr>
                <w:rtl/>
                <w:lang w:eastAsia="en-US"/>
              </w:rPr>
            </w:pPr>
            <w:r w:rsidRPr="00A9004C">
              <w:rPr>
                <w:rFonts w:hint="cs"/>
                <w:rtl/>
                <w:lang w:eastAsia="en-US"/>
              </w:rPr>
              <w:t>ببذل وحلم ساد في قومه الفتى</w:t>
            </w:r>
            <w:r w:rsidRPr="00A9004C">
              <w:rPr>
                <w:rtl/>
                <w:lang w:eastAsia="en-US"/>
              </w:rPr>
              <w:br/>
            </w:r>
          </w:p>
        </w:tc>
        <w:tc>
          <w:tcPr>
            <w:tcW w:w="709" w:type="dxa"/>
            <w:vAlign w:val="center"/>
          </w:tcPr>
          <w:p w:rsidR="00A9004C" w:rsidRPr="00A9004C" w:rsidRDefault="00A9004C" w:rsidP="00A9004C">
            <w:pPr>
              <w:pStyle w:val="Abstract"/>
              <w:bidi/>
              <w:spacing w:after="0" w:line="240" w:lineRule="exact"/>
              <w:ind w:firstLine="173"/>
              <w:rPr>
                <w:rtl/>
                <w:lang w:eastAsia="en-US"/>
              </w:rPr>
            </w:pPr>
            <w:r w:rsidRPr="00A9004C">
              <w:rPr>
                <w:rFonts w:hint="cs"/>
                <w:rtl/>
                <w:lang w:eastAsia="en-US"/>
              </w:rPr>
              <w:t>*</w:t>
            </w:r>
          </w:p>
        </w:tc>
        <w:tc>
          <w:tcPr>
            <w:tcW w:w="2909" w:type="dxa"/>
            <w:vAlign w:val="center"/>
          </w:tcPr>
          <w:p w:rsidR="00A9004C" w:rsidRPr="00A9004C" w:rsidRDefault="00A9004C" w:rsidP="00A9004C">
            <w:pPr>
              <w:pStyle w:val="Abstract"/>
              <w:bidi/>
              <w:spacing w:after="0" w:line="240" w:lineRule="exact"/>
              <w:ind w:firstLine="173"/>
              <w:rPr>
                <w:rtl/>
                <w:lang w:eastAsia="en-US"/>
              </w:rPr>
            </w:pPr>
            <w:r w:rsidRPr="00A9004C">
              <w:rPr>
                <w:rFonts w:hint="cs"/>
                <w:rtl/>
                <w:lang w:eastAsia="en-US"/>
              </w:rPr>
              <w:t> وكونك إياه عليك يسير</w:t>
            </w:r>
            <w:r w:rsidRPr="00A9004C">
              <w:rPr>
                <w:rtl/>
                <w:lang w:eastAsia="en-US"/>
              </w:rPr>
              <w:br/>
            </w:r>
          </w:p>
        </w:tc>
      </w:tr>
    </w:tbl>
    <w:p w:rsidR="00A9004C" w:rsidRPr="00A9004C" w:rsidRDefault="00A9004C" w:rsidP="00A9004C">
      <w:pPr>
        <w:pStyle w:val="Abstract"/>
        <w:bidi/>
        <w:spacing w:after="0" w:line="240" w:lineRule="exact"/>
        <w:ind w:firstLine="173"/>
        <w:rPr>
          <w:lang w:eastAsia="en-US"/>
        </w:rPr>
      </w:pPr>
      <w:r w:rsidRPr="00A9004C">
        <w:rPr>
          <w:rFonts w:hint="cs"/>
          <w:rtl/>
          <w:lang w:eastAsia="en-US"/>
        </w:rPr>
        <w:t xml:space="preserve">من الطويل. </w:t>
      </w:r>
    </w:p>
    <w:p w:rsidR="00A9004C" w:rsidRPr="00A9004C" w:rsidRDefault="00A9004C" w:rsidP="00570248">
      <w:pPr>
        <w:pStyle w:val="Abstract"/>
        <w:bidi/>
        <w:spacing w:after="0" w:line="240" w:lineRule="exact"/>
        <w:ind w:firstLine="173"/>
        <w:rPr>
          <w:rtl/>
          <w:lang w:eastAsia="en-US"/>
        </w:rPr>
      </w:pPr>
      <w:r w:rsidRPr="00A9004C">
        <w:rPr>
          <w:rFonts w:hint="cs"/>
          <w:rtl/>
          <w:lang w:eastAsia="en-US"/>
        </w:rPr>
        <w:t xml:space="preserve">فقال: وكونك إياه، فرفع ونصب إياه، وأضيف اسمه إليه من باب إضافة المعمول إلى العامل، كما في قوله تعالى: </w:t>
      </w:r>
      <w:r w:rsidR="00570248" w:rsidRPr="00570248">
        <w:rPr>
          <w:rFonts w:cs="DecoType Thuluth" w:hint="cs"/>
          <w:rtl/>
        </w:rPr>
        <w:t>{</w:t>
      </w:r>
      <w:r w:rsidR="00570248" w:rsidRPr="00570248">
        <w:rPr>
          <w:rFonts w:ascii="QCF_P337" w:hAnsi="QCF_P337" w:cs="QCF_P337"/>
          <w:rtl/>
        </w:rPr>
        <w:t>ﭩ ﭪ ﭫ ﭬ ﭭ ﭮ</w:t>
      </w:r>
      <w:r w:rsidR="00570248" w:rsidRPr="00570248">
        <w:rPr>
          <w:rFonts w:ascii="QCF_P337" w:hAnsi="QCF_P337" w:cs="DecoType Thuluth"/>
          <w:rtl/>
        </w:rPr>
        <w:t>}</w:t>
      </w:r>
      <w:r w:rsidRPr="00A9004C">
        <w:rPr>
          <w:rFonts w:hint="cs"/>
          <w:rtl/>
          <w:lang w:eastAsia="en-US"/>
        </w:rPr>
        <w:t xml:space="preserve"> [البقرة: 251</w:t>
      </w:r>
      <w:r w:rsidRPr="00A9004C">
        <w:rPr>
          <w:rtl/>
          <w:lang w:eastAsia="en-US"/>
        </w:rPr>
        <w:t>]</w:t>
      </w:r>
      <w:r w:rsidRPr="00A9004C">
        <w:rPr>
          <w:rFonts w:hint="cs"/>
          <w:rtl/>
          <w:lang w:eastAsia="en-US"/>
        </w:rPr>
        <w:t xml:space="preserve"> إذن، يتصرف من أفعالهم، لماذا؟</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لأنَّك تعود بالضمير إلى العرب، والعرب عقلاء، ولكن إذا قلت: من أفعالهن. وأنت تقصد ما قصده سيبويه من: ظننت، وحسبت، وخلت، وأريت، ورأيت، وزعمت، وما يتصرف من أفعالهن. أي: من أفعال هذه الكلمات، والكلمات غير عاقلة.</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 xml:space="preserve">صحيح أن المتكلم يبث فيها الحياة، ويزرع فيها الربيعَ، أو يميتُها لا أماته الله إلا جابرًا كسرها وخاطرها ومحييًا كل ما فيها آمين. </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إذن، القاعدة في أسلوب الإمام، التي تحتذى: أن يعبر عن غير العاقل بنون النسوة، أو بهاء المؤنثة الغائبة.</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أما السؤال الذي نبهتك إليه مرتين، فهو: كيف ذكر سيبويه أفعال الباب؟</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ولتوضيح السؤال، قبل الجواب، أقول: ذكر سيبويه أفعال الباب مسندة إلى أفعالها، هذه الأفعال. ومعنى ذلك: أنَّ الرجل لم يقل: ظن، وحسب، وخال، وأرى، ورأى، وزعم. وإنما قال: ظننتُ، وحسبتُ، أي: أنه ذكرها منسوبة إلى فاعليها، الأفعال منسوبة إلى الفاعلين.</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فلماذا آثر سيبويه هذا اللون من الذكر للأفعال؟</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 xml:space="preserve">فلماذا لم يقل: هذا باب الأفعال التي تستعمل وتلغى، وهي ظن وحسب وخال وأرى؟ </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ذكر سيبويه: ظننتُ وحسبتُ وخلتُ وأريتُ. وآثر تاء الفاعل، وذلك لوجهين:</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الوجه الأول: الاختصار؛ لأنَّ قوله: ظننتُ أخصر من قوله: ظن عبد الله؛ ولأن قوله: حسبتُ أخصر من قوله: حسب عبد الله.</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 xml:space="preserve">الوجه الثاني: أنه لم يرد سرد الأفعال، وإنما أن أراد أن يربط الفعل بفاعله؛ لأن أقل ما يتألف منه الكلام لفظان أو لفظتان أو كلمتان، إما أن يكون من اسمين وإما أن يكون من فعل واسم. قام محمد؛ من فعل واسم، محمد مجتهد؛ من اسمين، هذا هو الكلام الذي تتم به الفائدة. </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lastRenderedPageBreak/>
        <w:t>لماذا قال سيبويه: ظننتُ، ولم يقل: ظننت عبد الله مسافرًا، أو ظننت عبد الله قائمًا، أو حسبت عبد الله قائمًا، فلماذا اكتفى بذكر الفعل والفاعل فقال: ظننت، وحسبت، وخلت، وأريت، ورأيت، وزعمت؟</w:t>
      </w:r>
    </w:p>
    <w:p w:rsidR="00A9004C" w:rsidRPr="00A9004C" w:rsidRDefault="00A9004C" w:rsidP="00A9004C">
      <w:pPr>
        <w:pStyle w:val="Abstract"/>
        <w:bidi/>
        <w:spacing w:after="0" w:line="240" w:lineRule="exact"/>
        <w:ind w:firstLine="173"/>
        <w:rPr>
          <w:rtl/>
          <w:lang w:eastAsia="en-US"/>
        </w:rPr>
      </w:pPr>
      <w:r w:rsidRPr="00A9004C">
        <w:rPr>
          <w:rFonts w:hint="cs"/>
          <w:rtl/>
          <w:lang w:eastAsia="en-US"/>
        </w:rPr>
        <w:t>الجواب: أنه بمثابة التشويق، كأنه يشوقك إلى هذه الأفعال، ويأتي تشويقه مزيدًا فيه، كأنه أضاف حلوًا على حلو.</w:t>
      </w:r>
    </w:p>
    <w:p w:rsidR="00A9004C" w:rsidRPr="00A9004C" w:rsidRDefault="00A9004C" w:rsidP="00A9004C">
      <w:pPr>
        <w:pStyle w:val="Abstract"/>
        <w:bidi/>
        <w:spacing w:after="0" w:line="240" w:lineRule="exact"/>
        <w:ind w:firstLine="173"/>
        <w:rPr>
          <w:lang w:eastAsia="en-US"/>
        </w:rPr>
      </w:pPr>
      <w:r w:rsidRPr="00A9004C">
        <w:rPr>
          <w:rFonts w:hint="cs"/>
          <w:rtl/>
          <w:lang w:eastAsia="en-US"/>
        </w:rPr>
        <w:t>ثم يستطرد من بعد ذلك؛ فيبين الأساليب تامة؛ مستعملة ومهملة.</w:t>
      </w:r>
    </w:p>
    <w:p w:rsidR="000E2248" w:rsidRPr="00C76949" w:rsidRDefault="00A9004C" w:rsidP="00A9004C">
      <w:pPr>
        <w:pStyle w:val="Abstract"/>
        <w:bidi/>
        <w:spacing w:after="0" w:line="240" w:lineRule="exact"/>
        <w:ind w:firstLine="173"/>
        <w:rPr>
          <w:lang w:eastAsia="en-US"/>
        </w:rPr>
      </w:pPr>
      <w:r w:rsidRPr="00A9004C">
        <w:rPr>
          <w:rFonts w:hint="cs"/>
          <w:rtl/>
          <w:lang w:eastAsia="en-US"/>
        </w:rPr>
        <w:t>فنحن أمام مدرسة كان أول من وضع لبناتها سيبويه، لكن أحدًا من المحدثين لا يذكر ذلك إلا من رحم الله تعالى.</w:t>
      </w:r>
    </w:p>
    <w:p w:rsidR="00006F7B" w:rsidRPr="00A44522" w:rsidRDefault="007345A3" w:rsidP="00A44522">
      <w:pPr>
        <w:pStyle w:val="1"/>
        <w:tabs>
          <w:tab w:val="clear" w:pos="0"/>
        </w:tabs>
        <w:bidi/>
        <w:ind w:firstLine="0"/>
        <w:rPr>
          <w:rtl/>
        </w:rPr>
      </w:pPr>
      <w:r>
        <w:rPr>
          <w:rFonts w:hint="cs"/>
          <w:rtl/>
        </w:rPr>
        <w:t>المراجع والمصادر</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سيبويه</w:t>
      </w:r>
      <w:r>
        <w:rPr>
          <w:rFonts w:ascii="Arial" w:hAnsi="Arial" w:cs="Arial" w:hint="cs"/>
          <w:color w:val="222222"/>
          <w:sz w:val="20"/>
          <w:szCs w:val="20"/>
          <w:rtl/>
        </w:rPr>
        <w:t xml:space="preserve">، </w:t>
      </w:r>
      <w:r w:rsidRPr="00BD267B">
        <w:rPr>
          <w:rFonts w:ascii="Arial" w:hAnsi="Arial" w:cs="Arial"/>
          <w:color w:val="222222"/>
          <w:sz w:val="20"/>
          <w:szCs w:val="20"/>
          <w:rtl/>
        </w:rPr>
        <w:t>عمرو بن عثمان سيبويه</w:t>
      </w:r>
      <w:r>
        <w:rPr>
          <w:rFonts w:ascii="Arial" w:hAnsi="Arial" w:cs="Arial" w:hint="cs"/>
          <w:color w:val="222222"/>
          <w:sz w:val="20"/>
          <w:szCs w:val="20"/>
          <w:rtl/>
        </w:rPr>
        <w:t xml:space="preserve"> (الكتاب) </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وشرح: عبد السلام محمد هارون، بيروت</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الجيل، 1991م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المبرد</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يزيد المبرد</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المقتضب</w:t>
      </w:r>
      <w:r w:rsidRPr="00BD267B">
        <w:rPr>
          <w:rFonts w:ascii="Arial" w:hAnsi="Arial" w:cs="Arial" w:hint="cs"/>
          <w:color w:val="222222"/>
          <w:sz w:val="20"/>
          <w:szCs w:val="20"/>
          <w:rtl/>
        </w:rPr>
        <w:t>)،</w:t>
      </w:r>
      <w:r w:rsidRPr="00BD267B">
        <w:rPr>
          <w:rFonts w:ascii="Arial" w:hAnsi="Arial" w:cs="Arial"/>
          <w:color w:val="222222"/>
          <w:sz w:val="20"/>
          <w:szCs w:val="20"/>
          <w:rtl/>
        </w:rPr>
        <w:t xml:space="preserve"> دار الكتب العلمية، 2000م</w:t>
      </w:r>
    </w:p>
    <w:p w:rsidR="00BD267B" w:rsidRPr="00BD267B" w:rsidRDefault="00BD267B" w:rsidP="00BD267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Pr="00BD267B">
        <w:rPr>
          <w:rFonts w:ascii="Arial" w:hAnsi="Arial" w:cs="Arial"/>
          <w:color w:val="222222"/>
          <w:sz w:val="20"/>
          <w:szCs w:val="20"/>
          <w:rtl/>
        </w:rPr>
        <w:t>شرح</w:t>
      </w:r>
      <w:r w:rsidRPr="00BD267B">
        <w:rPr>
          <w:rFonts w:ascii="Arial" w:hAnsi="Arial" w:cs="Arial"/>
          <w:color w:val="222222"/>
          <w:sz w:val="20"/>
          <w:szCs w:val="20"/>
        </w:rPr>
        <w:t xml:space="preserve"> </w:t>
      </w:r>
      <w:r w:rsidRPr="00BD267B">
        <w:rPr>
          <w:rFonts w:ascii="Arial" w:hAnsi="Arial" w:cs="Arial"/>
          <w:color w:val="222222"/>
          <w:sz w:val="20"/>
          <w:szCs w:val="20"/>
          <w:rtl/>
        </w:rPr>
        <w:t>التسهيل</w:t>
      </w:r>
      <w:r>
        <w:rPr>
          <w:rFonts w:ascii="Arial" w:hAnsi="Arial" w:cs="Arial" w:hint="cs"/>
          <w:color w:val="222222"/>
          <w:sz w:val="20"/>
          <w:szCs w:val="20"/>
          <w:rtl/>
        </w:rPr>
        <w:t>)</w:t>
      </w:r>
      <w:r w:rsidRPr="00BD267B">
        <w:rPr>
          <w:rFonts w:ascii="Arial" w:hAnsi="Arial" w:cs="Arial" w:hint="cs"/>
          <w:color w:val="222222"/>
          <w:sz w:val="20"/>
          <w:szCs w:val="20"/>
          <w:rtl/>
        </w:rPr>
        <w:t>،</w:t>
      </w:r>
      <w:r w:rsidRPr="00BD267B">
        <w:rPr>
          <w:rFonts w:ascii="Arial" w:hAnsi="Arial" w:cs="Arial"/>
          <w:color w:val="222222"/>
          <w:sz w:val="20"/>
          <w:szCs w:val="20"/>
          <w:rtl/>
        </w:rPr>
        <w:t xml:space="preserve"> تحقيق: عبد الرحمن السيد ومحمد بدوي</w:t>
      </w:r>
      <w:r w:rsidRPr="00BD267B">
        <w:rPr>
          <w:rFonts w:ascii="Arial" w:hAnsi="Arial" w:cs="Arial"/>
          <w:color w:val="222222"/>
          <w:sz w:val="20"/>
          <w:szCs w:val="20"/>
        </w:rPr>
        <w:t xml:space="preserve"> </w:t>
      </w:r>
      <w:r w:rsidRPr="00BD267B">
        <w:rPr>
          <w:rFonts w:ascii="Arial" w:hAnsi="Arial" w:cs="Arial"/>
          <w:color w:val="222222"/>
          <w:sz w:val="20"/>
          <w:szCs w:val="20"/>
          <w:rtl/>
        </w:rPr>
        <w:t>المختون، القاهرة،  دار هجر للطباعة والنشر والتوزيع، 1990م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القفطي</w:t>
      </w:r>
      <w:r>
        <w:rPr>
          <w:rFonts w:ascii="Arial" w:hAnsi="Arial" w:cs="Arial" w:hint="cs"/>
          <w:color w:val="222222"/>
          <w:sz w:val="20"/>
          <w:szCs w:val="20"/>
          <w:rtl/>
        </w:rPr>
        <w:t xml:space="preserve">، </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علي بن يوسف القفطي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أنباه الرواة على أنباه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محمد أبو الفضل إبراهيم، دار الكتب المصرية، 1950م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كثير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إسماعيل بن كثير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طبقات الشافعية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المدار ال</w:t>
      </w:r>
      <w:r w:rsidR="00BD267B" w:rsidRPr="0098735B">
        <w:rPr>
          <w:rFonts w:ascii="Arial" w:hAnsi="Arial" w:cs="Arial" w:hint="cs"/>
          <w:color w:val="222222"/>
          <w:sz w:val="20"/>
          <w:szCs w:val="20"/>
          <w:rtl/>
        </w:rPr>
        <w:t>إ</w:t>
      </w:r>
      <w:r w:rsidR="00BD267B" w:rsidRPr="0098735B">
        <w:rPr>
          <w:rFonts w:ascii="Arial" w:hAnsi="Arial" w:cs="Arial"/>
          <w:color w:val="222222"/>
          <w:sz w:val="20"/>
          <w:szCs w:val="20"/>
          <w:rtl/>
        </w:rPr>
        <w:t>سلامي للتوزيع، 2003م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الحنبلي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ابن العماد عبد الحي بن أحمد الحنبلي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شذرات الذهب في أخبار من ذهب</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عبد القادر الأرناؤوط ومحمود الأرناؤوط، سوريا،</w:t>
      </w:r>
      <w:r w:rsidR="00BD267B" w:rsidRPr="0098735B">
        <w:rPr>
          <w:rFonts w:ascii="Arial" w:hAnsi="Arial" w:cs="Arial" w:hint="cs"/>
          <w:color w:val="222222"/>
          <w:sz w:val="20"/>
          <w:szCs w:val="20"/>
          <w:rtl/>
        </w:rPr>
        <w:t xml:space="preserve"> </w:t>
      </w:r>
      <w:r w:rsidR="00BD267B" w:rsidRPr="0098735B">
        <w:rPr>
          <w:rFonts w:ascii="Arial" w:hAnsi="Arial" w:cs="Arial"/>
          <w:color w:val="222222"/>
          <w:sz w:val="20"/>
          <w:szCs w:val="20"/>
          <w:rtl/>
        </w:rPr>
        <w:t>دار ابن كثير، 1986م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عبد الرحمن بن محمد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الإنصاف في مسائل الخلاف</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الأنباري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البركات بن الأنباري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البيان في غريب إعراب القرآن</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2002م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الأنصاري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جمال الدين بن هشام الأنصاري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مغني اللبيب عن كتب الأعاريب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الأرقم للطباعة والنشر والتوزيع، 2001م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الأشموني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علي بن محمد الأشموني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الأشموني على ألفية ابن مالك</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جني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ابي الفتح عثمان بن جني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الخصائص</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2006م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مالك</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عبد الله بن مالك</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الكافية الشافية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2000م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الشافعي</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علي الصبان الشافعي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حاشية الصبان على شرح الأشموني</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دار الكتب العلمية،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بغية الدعاة في طبقات اللغويين والنحاة</w:t>
      </w:r>
      <w:r w:rsidR="00BD267B" w:rsidRPr="00BD267B">
        <w:rPr>
          <w:rFonts w:ascii="Arial" w:hAnsi="Arial" w:cs="Arial" w:hint="cs"/>
          <w:color w:val="222222"/>
          <w:sz w:val="20"/>
          <w:szCs w:val="20"/>
          <w:rtl/>
        </w:rPr>
        <w:t>)</w:t>
      </w:r>
      <w:r w:rsidR="00BD267B" w:rsidRPr="0098735B">
        <w:rPr>
          <w:rFonts w:ascii="Arial" w:hAnsi="Arial" w:cs="Arial"/>
          <w:color w:val="222222"/>
          <w:sz w:val="20"/>
          <w:szCs w:val="20"/>
          <w:rtl/>
        </w:rPr>
        <w:t>، تحقيق: محمد أبو الفضل إبراهيم، القاهرة، مطبعة عيسى البابي الحلبي، 1964م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الطنطاوي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الطنطاوي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نشأة النحو وتاريخ أشهر النحاة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1997م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الحسن الرضي الأستر</w:t>
      </w:r>
      <w:r w:rsidRPr="00BD267B">
        <w:rPr>
          <w:rFonts w:ascii="Arial" w:hAnsi="Arial" w:cs="Arial" w:hint="cs"/>
          <w:color w:val="222222"/>
          <w:sz w:val="20"/>
          <w:szCs w:val="20"/>
          <w:rtl/>
        </w:rPr>
        <w:t>ا</w:t>
      </w:r>
      <w:r w:rsidRPr="00BD267B">
        <w:rPr>
          <w:rFonts w:ascii="Arial" w:hAnsi="Arial" w:cs="Arial"/>
          <w:color w:val="222222"/>
          <w:sz w:val="20"/>
          <w:szCs w:val="20"/>
          <w:rtl/>
        </w:rPr>
        <w:t>باذي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الرضي على الكافية</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تحقيق: يوسف حسن عمر، جامعة قاريونس، 1978م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يعيش</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يعيش بن علي بن أبي يسار بن يعيش</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شرح المفصل</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عالم الكتب للطباعة والنشر والتوزيع، 1996م.</w:t>
      </w:r>
    </w:p>
    <w:p w:rsidR="00BD267B" w:rsidRPr="0098735B" w:rsidRDefault="0098735B" w:rsidP="0098735B">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بن منظور</w:t>
      </w:r>
      <w:r>
        <w:rPr>
          <w:rFonts w:ascii="Arial" w:hAnsi="Arial" w:cs="Arial" w:hint="cs"/>
          <w:color w:val="222222"/>
          <w:sz w:val="20"/>
          <w:szCs w:val="20"/>
          <w:rtl/>
        </w:rPr>
        <w:t>،</w:t>
      </w:r>
      <w:r w:rsidRPr="00BD267B">
        <w:rPr>
          <w:rFonts w:ascii="Arial" w:hAnsi="Arial" w:cs="Arial" w:hint="cs"/>
          <w:color w:val="222222"/>
          <w:sz w:val="20"/>
          <w:szCs w:val="20"/>
          <w:rtl/>
        </w:rPr>
        <w:t xml:space="preserve"> </w:t>
      </w:r>
      <w:r w:rsidRPr="00BD267B">
        <w:rPr>
          <w:rFonts w:ascii="Arial" w:hAnsi="Arial" w:cs="Arial"/>
          <w:color w:val="222222"/>
          <w:sz w:val="20"/>
          <w:szCs w:val="20"/>
          <w:rtl/>
        </w:rPr>
        <w:t>محمد بن مكرم بن منظور</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لسان العرب</w:t>
      </w:r>
      <w:r w:rsidR="00BD267B" w:rsidRPr="00BD267B">
        <w:rPr>
          <w:rFonts w:ascii="Arial" w:hAnsi="Arial" w:cs="Arial" w:hint="cs"/>
          <w:color w:val="222222"/>
          <w:sz w:val="20"/>
          <w:szCs w:val="20"/>
          <w:rtl/>
        </w:rPr>
        <w:t>)</w:t>
      </w:r>
      <w:r w:rsidR="00BD267B" w:rsidRPr="0098735B">
        <w:rPr>
          <w:rFonts w:ascii="Arial" w:hAnsi="Arial" w:cs="Arial" w:hint="cs"/>
          <w:color w:val="222222"/>
          <w:sz w:val="20"/>
          <w:szCs w:val="20"/>
          <w:rtl/>
        </w:rPr>
        <w:t>،</w:t>
      </w:r>
      <w:r w:rsidR="00BD267B" w:rsidRPr="0098735B">
        <w:rPr>
          <w:rFonts w:ascii="Arial" w:hAnsi="Arial" w:cs="Arial"/>
          <w:color w:val="222222"/>
          <w:sz w:val="20"/>
          <w:szCs w:val="20"/>
          <w:rtl/>
        </w:rPr>
        <w:t xml:space="preserve"> بيروت، دار صادر، 1970م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t>العكبري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البقاء عبد الله بن الحسين العكبري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اللباب في علل البناء والإعراب</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الفكر المعاصر للطباعة والنشر والتوزيع، 1995م</w:t>
      </w:r>
    </w:p>
    <w:p w:rsidR="00BD267B" w:rsidRPr="00184629" w:rsidRDefault="00184629" w:rsidP="00184629">
      <w:pPr>
        <w:pStyle w:val="references"/>
        <w:numPr>
          <w:ilvl w:val="0"/>
          <w:numId w:val="7"/>
        </w:numPr>
        <w:tabs>
          <w:tab w:val="num" w:pos="360"/>
        </w:tabs>
        <w:bidi/>
        <w:ind w:left="360"/>
        <w:rPr>
          <w:rFonts w:ascii="Arial" w:hAnsi="Arial" w:cs="Arial"/>
          <w:color w:val="222222"/>
          <w:sz w:val="20"/>
          <w:szCs w:val="20"/>
          <w:rtl/>
        </w:rPr>
      </w:pPr>
      <w:r w:rsidRPr="00BD267B">
        <w:rPr>
          <w:rFonts w:ascii="Arial" w:hAnsi="Arial" w:cs="Arial"/>
          <w:color w:val="222222"/>
          <w:sz w:val="20"/>
          <w:szCs w:val="20"/>
          <w:rtl/>
        </w:rPr>
        <w:t>السيوطي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جلال الدين عبد الرحمن السيوطي</w:t>
      </w:r>
      <w:r>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همع الهوامع في شرح جمع الجوامع</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دار الكتب العلمية، 1997م</w:t>
      </w:r>
    </w:p>
    <w:p w:rsidR="00E5535F" w:rsidRPr="00184629" w:rsidRDefault="00184629" w:rsidP="00184629">
      <w:pPr>
        <w:pStyle w:val="references"/>
        <w:numPr>
          <w:ilvl w:val="0"/>
          <w:numId w:val="7"/>
        </w:numPr>
        <w:tabs>
          <w:tab w:val="num" w:pos="360"/>
        </w:tabs>
        <w:bidi/>
        <w:ind w:left="360"/>
        <w:rPr>
          <w:rFonts w:ascii="Arial" w:hAnsi="Arial" w:cs="Arial"/>
          <w:color w:val="222222"/>
          <w:sz w:val="20"/>
          <w:szCs w:val="20"/>
        </w:rPr>
      </w:pPr>
      <w:r w:rsidRPr="00BD267B">
        <w:rPr>
          <w:rFonts w:ascii="Arial" w:hAnsi="Arial" w:cs="Arial"/>
          <w:color w:val="222222"/>
          <w:sz w:val="20"/>
          <w:szCs w:val="20"/>
          <w:rtl/>
        </w:rPr>
        <w:lastRenderedPageBreak/>
        <w:t>الأندلسي</w:t>
      </w:r>
      <w:r>
        <w:rPr>
          <w:rFonts w:ascii="Arial" w:hAnsi="Arial" w:cs="Arial" w:hint="cs"/>
          <w:color w:val="222222"/>
          <w:sz w:val="20"/>
          <w:szCs w:val="20"/>
          <w:rtl/>
        </w:rPr>
        <w:t>،</w:t>
      </w:r>
      <w:r w:rsidR="00BD267B" w:rsidRPr="00BD267B">
        <w:rPr>
          <w:rFonts w:ascii="Arial" w:hAnsi="Arial" w:cs="Arial" w:hint="cs"/>
          <w:color w:val="222222"/>
          <w:sz w:val="20"/>
          <w:szCs w:val="20"/>
          <w:rtl/>
        </w:rPr>
        <w:t xml:space="preserve"> </w:t>
      </w:r>
      <w:r w:rsidRPr="00BD267B">
        <w:rPr>
          <w:rFonts w:ascii="Arial" w:hAnsi="Arial" w:cs="Arial"/>
          <w:color w:val="222222"/>
          <w:sz w:val="20"/>
          <w:szCs w:val="20"/>
          <w:rtl/>
        </w:rPr>
        <w:t>أبو حيان محمد بن يوسف بن عليّ بن حيان الأندلسي</w:t>
      </w:r>
      <w:r w:rsidRPr="00BD267B">
        <w:rPr>
          <w:rFonts w:ascii="Arial" w:hAnsi="Arial" w:cs="Arial" w:hint="cs"/>
          <w:color w:val="222222"/>
          <w:sz w:val="20"/>
          <w:szCs w:val="20"/>
          <w:rtl/>
        </w:rPr>
        <w:t xml:space="preserve"> </w:t>
      </w:r>
      <w:r w:rsidR="00BD267B" w:rsidRPr="00BD267B">
        <w:rPr>
          <w:rFonts w:ascii="Arial" w:hAnsi="Arial" w:cs="Arial" w:hint="cs"/>
          <w:color w:val="222222"/>
          <w:sz w:val="20"/>
          <w:szCs w:val="20"/>
          <w:rtl/>
        </w:rPr>
        <w:t>(</w:t>
      </w:r>
      <w:r w:rsidR="00BD267B" w:rsidRPr="00BD267B">
        <w:rPr>
          <w:rFonts w:ascii="Arial" w:hAnsi="Arial" w:cs="Arial"/>
          <w:color w:val="222222"/>
          <w:sz w:val="20"/>
          <w:szCs w:val="20"/>
          <w:rtl/>
        </w:rPr>
        <w:t>تفسير البحر المحيط</w:t>
      </w:r>
      <w:r w:rsidR="00BD267B" w:rsidRPr="00BD267B">
        <w:rPr>
          <w:rFonts w:ascii="Arial" w:hAnsi="Arial" w:cs="Arial" w:hint="cs"/>
          <w:color w:val="222222"/>
          <w:sz w:val="20"/>
          <w:szCs w:val="20"/>
          <w:rtl/>
        </w:rPr>
        <w:t>)</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تحقيق: عادل أحمد وعلي معوض</w:t>
      </w:r>
      <w:r w:rsidR="00BD267B" w:rsidRPr="00184629">
        <w:rPr>
          <w:rFonts w:ascii="Arial" w:hAnsi="Arial" w:cs="Arial" w:hint="cs"/>
          <w:color w:val="222222"/>
          <w:sz w:val="20"/>
          <w:szCs w:val="20"/>
          <w:rtl/>
        </w:rPr>
        <w:t>،</w:t>
      </w:r>
      <w:r w:rsidR="00BD267B" w:rsidRPr="00184629">
        <w:rPr>
          <w:rFonts w:ascii="Arial" w:hAnsi="Arial" w:cs="Arial"/>
          <w:color w:val="222222"/>
          <w:sz w:val="20"/>
          <w:szCs w:val="20"/>
          <w:rtl/>
        </w:rPr>
        <w:t xml:space="preserve"> بيروت،</w:t>
      </w:r>
      <w:r w:rsidR="00BD267B" w:rsidRPr="00184629">
        <w:rPr>
          <w:rFonts w:ascii="Arial" w:hAnsi="Arial" w:cs="Arial" w:hint="cs"/>
          <w:color w:val="222222"/>
          <w:sz w:val="20"/>
          <w:szCs w:val="20"/>
          <w:rtl/>
        </w:rPr>
        <w:t xml:space="preserve"> </w:t>
      </w:r>
      <w:r w:rsidR="00BD267B" w:rsidRPr="00184629">
        <w:rPr>
          <w:rFonts w:ascii="Arial" w:hAnsi="Arial" w:cs="Arial"/>
          <w:color w:val="222222"/>
          <w:sz w:val="20"/>
          <w:szCs w:val="20"/>
          <w:rtl/>
        </w:rPr>
        <w:t>دار الكتب العلمية، 1413هـ</w:t>
      </w:r>
    </w:p>
    <w:sectPr w:rsidR="00E5535F" w:rsidRPr="00184629" w:rsidSect="00251720">
      <w:type w:val="continuous"/>
      <w:pgSz w:w="11906" w:h="16838"/>
      <w:pgMar w:top="1080" w:right="737" w:bottom="2432" w:left="737" w:header="720" w:footer="720" w:gutter="0"/>
      <w:cols w:num="2" w:space="36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852" w:rsidRDefault="00570852" w:rsidP="000C4416">
      <w:r>
        <w:separator/>
      </w:r>
    </w:p>
  </w:endnote>
  <w:endnote w:type="continuationSeparator" w:id="1">
    <w:p w:rsidR="00570852" w:rsidRDefault="00570852" w:rsidP="000C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QCF_P33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852" w:rsidRDefault="00570852" w:rsidP="000C4416">
      <w:r>
        <w:separator/>
      </w:r>
    </w:p>
  </w:footnote>
  <w:footnote w:type="continuationSeparator" w:id="1">
    <w:p w:rsidR="00570852" w:rsidRDefault="00570852" w:rsidP="000C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97CA1B8"/>
    <w:lvl w:ilvl="0">
      <w:start w:val="1"/>
      <w:numFmt w:val="upperRoman"/>
      <w:suff w:val="space"/>
      <w:lvlText w:val="%1."/>
      <w:lvlJc w:val="center"/>
      <w:pPr>
        <w:tabs>
          <w:tab w:val="num" w:pos="0"/>
        </w:tabs>
        <w:ind w:left="0" w:firstLine="216"/>
      </w:pPr>
      <w:rPr>
        <w:rFonts w:cs="Times New Roman"/>
        <w:i w:val="0"/>
        <w:iCs w:val="0"/>
        <w:lang w:val="en-US"/>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338376FC"/>
    <w:multiLevelType w:val="hybridMultilevel"/>
    <w:tmpl w:val="2D625260"/>
    <w:lvl w:ilvl="0" w:tplc="AFF48F70">
      <w:start w:val="1"/>
      <w:numFmt w:val="decimal"/>
      <w:lvlText w:val="%1."/>
      <w:lvlJc w:val="left"/>
      <w:pPr>
        <w:tabs>
          <w:tab w:val="num" w:pos="720"/>
        </w:tabs>
        <w:ind w:left="720" w:hanging="360"/>
      </w:pPr>
      <w:rPr>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136545"/>
    <w:multiLevelType w:val="hybridMultilevel"/>
    <w:tmpl w:val="BBDEC29C"/>
    <w:lvl w:ilvl="0" w:tplc="D05AA752">
      <w:start w:val="1"/>
      <w:numFmt w:val="decimal"/>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584233"/>
    <w:multiLevelType w:val="hybridMultilevel"/>
    <w:tmpl w:val="C37AA678"/>
    <w:lvl w:ilvl="0" w:tplc="88F46F3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F056C6"/>
    <w:multiLevelType w:val="hybridMultilevel"/>
    <w:tmpl w:val="F5EC2254"/>
    <w:lvl w:ilvl="0" w:tplc="33744FA6">
      <w:start w:val="1"/>
      <w:numFmt w:val="upp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552D6DD6"/>
    <w:multiLevelType w:val="hybridMultilevel"/>
    <w:tmpl w:val="02DC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43"/>
    <w:multiLevelType w:val="hybridMultilevel"/>
    <w:tmpl w:val="95D6D4F2"/>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2">
    <w:nsid w:val="7C0D60EA"/>
    <w:multiLevelType w:val="hybridMultilevel"/>
    <w:tmpl w:val="6888AA7E"/>
    <w:lvl w:ilvl="0" w:tplc="C4B4A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12"/>
  </w:num>
  <w:num w:numId="10">
    <w:abstractNumId w:val="7"/>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2DC7"/>
    <w:rsid w:val="00006F7B"/>
    <w:rsid w:val="00050710"/>
    <w:rsid w:val="00063648"/>
    <w:rsid w:val="0007783C"/>
    <w:rsid w:val="00097F14"/>
    <w:rsid w:val="000C212C"/>
    <w:rsid w:val="000C4416"/>
    <w:rsid w:val="000E2248"/>
    <w:rsid w:val="0011170E"/>
    <w:rsid w:val="001677B7"/>
    <w:rsid w:val="00172029"/>
    <w:rsid w:val="0017791D"/>
    <w:rsid w:val="00180355"/>
    <w:rsid w:val="001835BD"/>
    <w:rsid w:val="00184629"/>
    <w:rsid w:val="00197B5F"/>
    <w:rsid w:val="001B1FA5"/>
    <w:rsid w:val="00251720"/>
    <w:rsid w:val="00256261"/>
    <w:rsid w:val="00265FEB"/>
    <w:rsid w:val="0029290A"/>
    <w:rsid w:val="00297415"/>
    <w:rsid w:val="003916F3"/>
    <w:rsid w:val="003B5B7D"/>
    <w:rsid w:val="003C7F85"/>
    <w:rsid w:val="003D1747"/>
    <w:rsid w:val="003D4552"/>
    <w:rsid w:val="00414B83"/>
    <w:rsid w:val="00444EE2"/>
    <w:rsid w:val="00455C43"/>
    <w:rsid w:val="00456C30"/>
    <w:rsid w:val="00461F7F"/>
    <w:rsid w:val="0047261F"/>
    <w:rsid w:val="00477ECE"/>
    <w:rsid w:val="004A6804"/>
    <w:rsid w:val="004B0223"/>
    <w:rsid w:val="004C1237"/>
    <w:rsid w:val="0052167A"/>
    <w:rsid w:val="00531265"/>
    <w:rsid w:val="005426F1"/>
    <w:rsid w:val="00570248"/>
    <w:rsid w:val="00570852"/>
    <w:rsid w:val="00582DC7"/>
    <w:rsid w:val="005A0FF9"/>
    <w:rsid w:val="005A1979"/>
    <w:rsid w:val="005A3FD3"/>
    <w:rsid w:val="005D225A"/>
    <w:rsid w:val="005E69E1"/>
    <w:rsid w:val="00614F38"/>
    <w:rsid w:val="006226AB"/>
    <w:rsid w:val="00680242"/>
    <w:rsid w:val="00680673"/>
    <w:rsid w:val="006F0791"/>
    <w:rsid w:val="00713EA5"/>
    <w:rsid w:val="0072481B"/>
    <w:rsid w:val="00726A4B"/>
    <w:rsid w:val="007345A3"/>
    <w:rsid w:val="00765F1E"/>
    <w:rsid w:val="00793A54"/>
    <w:rsid w:val="007C4E09"/>
    <w:rsid w:val="007E18F8"/>
    <w:rsid w:val="00810915"/>
    <w:rsid w:val="0081217A"/>
    <w:rsid w:val="00821F7F"/>
    <w:rsid w:val="008D571F"/>
    <w:rsid w:val="0098735B"/>
    <w:rsid w:val="009A452E"/>
    <w:rsid w:val="00A05529"/>
    <w:rsid w:val="00A44522"/>
    <w:rsid w:val="00A5227F"/>
    <w:rsid w:val="00A71A81"/>
    <w:rsid w:val="00A7496D"/>
    <w:rsid w:val="00A9004C"/>
    <w:rsid w:val="00AC2A88"/>
    <w:rsid w:val="00AE5DD6"/>
    <w:rsid w:val="00B44650"/>
    <w:rsid w:val="00B5552B"/>
    <w:rsid w:val="00B67BC9"/>
    <w:rsid w:val="00B96CE5"/>
    <w:rsid w:val="00BA14B1"/>
    <w:rsid w:val="00BC108E"/>
    <w:rsid w:val="00BD05D8"/>
    <w:rsid w:val="00BD267B"/>
    <w:rsid w:val="00BD62DC"/>
    <w:rsid w:val="00BF4485"/>
    <w:rsid w:val="00C42C06"/>
    <w:rsid w:val="00C76949"/>
    <w:rsid w:val="00CB4B1B"/>
    <w:rsid w:val="00CC3A47"/>
    <w:rsid w:val="00CE57A5"/>
    <w:rsid w:val="00CE7BBC"/>
    <w:rsid w:val="00D01C0B"/>
    <w:rsid w:val="00D17F47"/>
    <w:rsid w:val="00D4340B"/>
    <w:rsid w:val="00D768DB"/>
    <w:rsid w:val="00D919B7"/>
    <w:rsid w:val="00DE155D"/>
    <w:rsid w:val="00DF6E09"/>
    <w:rsid w:val="00E10CDA"/>
    <w:rsid w:val="00E42342"/>
    <w:rsid w:val="00E45FDD"/>
    <w:rsid w:val="00E5535F"/>
    <w:rsid w:val="00E72D31"/>
    <w:rsid w:val="00E84664"/>
    <w:rsid w:val="00EC0974"/>
    <w:rsid w:val="00EE6F64"/>
    <w:rsid w:val="00F02850"/>
    <w:rsid w:val="00F034CA"/>
    <w:rsid w:val="00F51C8F"/>
    <w:rsid w:val="00F718C2"/>
    <w:rsid w:val="00F750A7"/>
    <w:rsid w:val="00F90E05"/>
    <w:rsid w:val="00F942CD"/>
    <w:rsid w:val="00FA3409"/>
    <w:rsid w:val="00FD7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suppressAutoHyphens/>
      <w:jc w:val="center"/>
    </w:pPr>
    <w:rPr>
      <w:rFonts w:eastAsia="SimSun"/>
      <w:lang w:eastAsia="zh-CN"/>
    </w:rPr>
  </w:style>
  <w:style w:type="paragraph" w:styleId="1">
    <w:name w:val="heading 1"/>
    <w:basedOn w:val="a"/>
    <w:next w:val="a0"/>
    <w:qFormat/>
    <w:rsid w:val="00E10CDA"/>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2">
    <w:name w:val="heading 2"/>
    <w:basedOn w:val="a"/>
    <w:next w:val="a0"/>
    <w:qFormat/>
    <w:rsid w:val="00E10CDA"/>
    <w:pPr>
      <w:keepNext/>
      <w:keepLines/>
      <w:tabs>
        <w:tab w:val="num" w:pos="227"/>
      </w:tabs>
      <w:spacing w:before="120" w:after="60"/>
      <w:ind w:left="288" w:hanging="288"/>
      <w:jc w:val="left"/>
      <w:outlineLvl w:val="1"/>
    </w:pPr>
    <w:rPr>
      <w:i/>
      <w:iCs/>
      <w:lang w:eastAsia="en-US"/>
    </w:rPr>
  </w:style>
  <w:style w:type="paragraph" w:styleId="3">
    <w:name w:val="heading 3"/>
    <w:basedOn w:val="a"/>
    <w:next w:val="a0"/>
    <w:qFormat/>
    <w:rsid w:val="00E10CDA"/>
    <w:pPr>
      <w:tabs>
        <w:tab w:val="num" w:pos="425"/>
        <w:tab w:val="left" w:pos="540"/>
      </w:tabs>
      <w:spacing w:line="240" w:lineRule="exact"/>
      <w:ind w:firstLine="180"/>
      <w:jc w:val="both"/>
      <w:outlineLvl w:val="2"/>
    </w:pPr>
    <w:rPr>
      <w:i/>
      <w:iCs/>
      <w:lang w:eastAsia="en-US"/>
    </w:rPr>
  </w:style>
  <w:style w:type="paragraph" w:styleId="4">
    <w:name w:val="heading 4"/>
    <w:basedOn w:val="a"/>
    <w:next w:val="a0"/>
    <w:qFormat/>
    <w:rsid w:val="00E10CDA"/>
    <w:pPr>
      <w:tabs>
        <w:tab w:val="num" w:pos="630"/>
        <w:tab w:val="left" w:pos="720"/>
      </w:tabs>
      <w:spacing w:before="40" w:after="40"/>
      <w:ind w:firstLine="360"/>
      <w:jc w:val="both"/>
      <w:outlineLvl w:val="3"/>
    </w:pPr>
    <w:rPr>
      <w:i/>
      <w:iCs/>
      <w:lang w:eastAsia="en-US"/>
    </w:rPr>
  </w:style>
  <w:style w:type="paragraph" w:styleId="5">
    <w:name w:val="heading 5"/>
    <w:basedOn w:val="a"/>
    <w:next w:val="a0"/>
    <w:qFormat/>
    <w:rsid w:val="00E10CDA"/>
    <w:pPr>
      <w:tabs>
        <w:tab w:val="left" w:pos="360"/>
      </w:tabs>
      <w:spacing w:before="160" w:after="80"/>
      <w:outlineLvl w:val="4"/>
    </w:pPr>
    <w:rPr>
      <w:smallCaps/>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0CDA"/>
    <w:rPr>
      <w:rFonts w:cs="Times New Roman"/>
      <w:i w:val="0"/>
      <w:iCs w:val="0"/>
    </w:rPr>
  </w:style>
  <w:style w:type="character" w:customStyle="1" w:styleId="WW8Num1z1">
    <w:name w:val="WW8Num1z1"/>
    <w:rsid w:val="00E10CDA"/>
    <w:rPr>
      <w:rFonts w:cs="Times New Roman"/>
    </w:rPr>
  </w:style>
  <w:style w:type="character" w:customStyle="1" w:styleId="WW8Num1z3">
    <w:name w:val="WW8Num1z3"/>
    <w:rsid w:val="00E10CDA"/>
    <w:rPr>
      <w:rFonts w:ascii="Times New Roman" w:hAnsi="Times New Roman" w:cs="Times New Roman"/>
      <w:b w:val="0"/>
      <w:bCs w:val="0"/>
      <w:i/>
      <w:iCs/>
      <w:sz w:val="20"/>
      <w:szCs w:val="20"/>
    </w:rPr>
  </w:style>
  <w:style w:type="character" w:customStyle="1" w:styleId="WW8Num2z0">
    <w:name w:val="WW8Num2z0"/>
    <w:rsid w:val="00E10CDA"/>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E10CDA"/>
    <w:rPr>
      <w:rFonts w:ascii="Symbol" w:hAnsi="Symbol" w:cs="Symbol"/>
    </w:rPr>
  </w:style>
  <w:style w:type="character" w:customStyle="1" w:styleId="WW8Num4z0">
    <w:name w:val="WW8Num4z0"/>
    <w:rsid w:val="00E10CDA"/>
    <w:rPr>
      <w:rFonts w:cs="Times New Roman"/>
    </w:rPr>
  </w:style>
  <w:style w:type="character" w:customStyle="1" w:styleId="WW8Num5z0">
    <w:name w:val="WW8Num5z0"/>
    <w:rsid w:val="00E10CDA"/>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E10CDA"/>
    <w:rPr>
      <w:rFonts w:ascii="Times New Roman" w:hAnsi="Times New Roman" w:cs="Times New Roman"/>
      <w:b w:val="0"/>
      <w:bCs w:val="0"/>
      <w:i w:val="0"/>
      <w:iCs w:val="0"/>
      <w:sz w:val="16"/>
      <w:szCs w:val="16"/>
    </w:rPr>
  </w:style>
  <w:style w:type="character" w:customStyle="1" w:styleId="Absatz-Standardschriftart">
    <w:name w:val="Absatz-Standardschriftart"/>
    <w:rsid w:val="00E10CDA"/>
  </w:style>
  <w:style w:type="character" w:customStyle="1" w:styleId="WW8Num7z0">
    <w:name w:val="WW8Num7z0"/>
    <w:rsid w:val="00E10CDA"/>
    <w:rPr>
      <w:rFonts w:ascii="Times New Roman" w:hAnsi="Times New Roman" w:cs="Times New Roman"/>
      <w:b w:val="0"/>
      <w:bCs w:val="0"/>
      <w:i w:val="0"/>
      <w:iCs w:val="0"/>
      <w:color w:val="auto"/>
      <w:sz w:val="16"/>
      <w:szCs w:val="16"/>
    </w:rPr>
  </w:style>
  <w:style w:type="character" w:customStyle="1" w:styleId="DefaultParagraphFont1">
    <w:name w:val="Default Paragraph Font1"/>
    <w:rsid w:val="00E10CDA"/>
  </w:style>
  <w:style w:type="character" w:customStyle="1" w:styleId="WW-DefaultParagraphFont">
    <w:name w:val="WW-Default Paragraph Font"/>
    <w:rsid w:val="00E10CDA"/>
  </w:style>
  <w:style w:type="character" w:customStyle="1" w:styleId="WW-Absatz-Standardschriftart">
    <w:name w:val="WW-Absatz-Standardschriftart"/>
    <w:rsid w:val="00E10CDA"/>
  </w:style>
  <w:style w:type="character" w:customStyle="1" w:styleId="WW-Absatz-Standardschriftart1">
    <w:name w:val="WW-Absatz-Standardschriftart1"/>
    <w:rsid w:val="00E10CDA"/>
  </w:style>
  <w:style w:type="character" w:customStyle="1" w:styleId="WW-Absatz-Standardschriftart11">
    <w:name w:val="WW-Absatz-Standardschriftart11"/>
    <w:rsid w:val="00E10CDA"/>
  </w:style>
  <w:style w:type="character" w:customStyle="1" w:styleId="WW-Absatz-Standardschriftart111">
    <w:name w:val="WW-Absatz-Standardschriftart111"/>
    <w:rsid w:val="00E10CDA"/>
  </w:style>
  <w:style w:type="character" w:customStyle="1" w:styleId="WW-Absatz-Standardschriftart1111">
    <w:name w:val="WW-Absatz-Standardschriftart1111"/>
    <w:rsid w:val="00E10CDA"/>
  </w:style>
  <w:style w:type="character" w:customStyle="1" w:styleId="WW-Absatz-Standardschriftart11111">
    <w:name w:val="WW-Absatz-Standardschriftart11111"/>
    <w:rsid w:val="00E10CDA"/>
  </w:style>
  <w:style w:type="character" w:customStyle="1" w:styleId="WW-Absatz-Standardschriftart111111">
    <w:name w:val="WW-Absatz-Standardschriftart111111"/>
    <w:rsid w:val="00E10CDA"/>
  </w:style>
  <w:style w:type="character" w:customStyle="1" w:styleId="WW-Absatz-Standardschriftart1111111">
    <w:name w:val="WW-Absatz-Standardschriftart1111111"/>
    <w:rsid w:val="00E10CDA"/>
  </w:style>
  <w:style w:type="character" w:customStyle="1" w:styleId="WW8Num1z4">
    <w:name w:val="WW8Num1z4"/>
    <w:rsid w:val="00E10CDA"/>
    <w:rPr>
      <w:rFonts w:cs="Times New Roman"/>
    </w:rPr>
  </w:style>
  <w:style w:type="character" w:customStyle="1" w:styleId="WW-Absatz-Standardschriftart11111111">
    <w:name w:val="WW-Absatz-Standardschriftart11111111"/>
    <w:rsid w:val="00E10CDA"/>
  </w:style>
  <w:style w:type="character" w:customStyle="1" w:styleId="WW8Num2z1">
    <w:name w:val="WW8Num2z1"/>
    <w:rsid w:val="00E10CDA"/>
    <w:rPr>
      <w:rFonts w:cs="Times New Roman"/>
    </w:rPr>
  </w:style>
  <w:style w:type="character" w:customStyle="1" w:styleId="WW8Num3z1">
    <w:name w:val="WW8Num3z1"/>
    <w:rsid w:val="00E10CDA"/>
    <w:rPr>
      <w:rFonts w:ascii="Courier New" w:hAnsi="Courier New" w:cs="Courier New"/>
    </w:rPr>
  </w:style>
  <w:style w:type="character" w:customStyle="1" w:styleId="WW8Num3z2">
    <w:name w:val="WW8Num3z2"/>
    <w:rsid w:val="00E10CDA"/>
    <w:rPr>
      <w:rFonts w:ascii="Wingdings" w:hAnsi="Wingdings" w:cs="Wingdings"/>
    </w:rPr>
  </w:style>
  <w:style w:type="character" w:customStyle="1" w:styleId="WW8Num5z1">
    <w:name w:val="WW8Num5z1"/>
    <w:rsid w:val="00E10CDA"/>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E10CDA"/>
    <w:rPr>
      <w:rFonts w:ascii="Times New Roman" w:hAnsi="Times New Roman" w:cs="Times New Roman"/>
      <w:b w:val="0"/>
      <w:bCs w:val="0"/>
      <w:i/>
      <w:iCs/>
      <w:sz w:val="20"/>
      <w:szCs w:val="20"/>
    </w:rPr>
  </w:style>
  <w:style w:type="character" w:customStyle="1" w:styleId="WW8Num5z4">
    <w:name w:val="WW8Num5z4"/>
    <w:rsid w:val="00E10CDA"/>
    <w:rPr>
      <w:rFonts w:cs="Times New Roman"/>
    </w:rPr>
  </w:style>
  <w:style w:type="character" w:customStyle="1" w:styleId="WW8Num7z1">
    <w:name w:val="WW8Num7z1"/>
    <w:rsid w:val="00E10CDA"/>
    <w:rPr>
      <w:rFonts w:cs="Times New Roman"/>
    </w:rPr>
  </w:style>
  <w:style w:type="character" w:customStyle="1" w:styleId="WW8Num8z0">
    <w:name w:val="WW8Num8z0"/>
    <w:rsid w:val="00E10CDA"/>
    <w:rPr>
      <w:rFonts w:ascii="Times New Roman" w:hAnsi="Times New Roman" w:cs="Times New Roman"/>
      <w:b w:val="0"/>
      <w:bCs w:val="0"/>
      <w:i w:val="0"/>
      <w:iCs w:val="0"/>
      <w:sz w:val="16"/>
      <w:szCs w:val="16"/>
    </w:rPr>
  </w:style>
  <w:style w:type="character" w:customStyle="1" w:styleId="WW-DefaultParagraphFont1">
    <w:name w:val="WW-Default Paragraph Font1"/>
    <w:rsid w:val="00E10CDA"/>
  </w:style>
  <w:style w:type="paragraph" w:customStyle="1" w:styleId="Heading">
    <w:name w:val="Heading"/>
    <w:basedOn w:val="a"/>
    <w:next w:val="a0"/>
    <w:rsid w:val="00E10CDA"/>
    <w:pPr>
      <w:keepNext/>
      <w:spacing w:before="240" w:after="120"/>
    </w:pPr>
    <w:rPr>
      <w:rFonts w:ascii="Arial" w:eastAsia="DejaVu Sans" w:hAnsi="Arial" w:cs="Lohit Hindi"/>
      <w:sz w:val="28"/>
      <w:szCs w:val="28"/>
    </w:rPr>
  </w:style>
  <w:style w:type="paragraph" w:styleId="a0">
    <w:name w:val="Body Text"/>
    <w:basedOn w:val="a"/>
    <w:rsid w:val="00E10CDA"/>
    <w:pPr>
      <w:spacing w:after="6"/>
      <w:ind w:firstLine="288"/>
      <w:jc w:val="both"/>
    </w:pPr>
    <w:rPr>
      <w:spacing w:val="-1"/>
    </w:rPr>
  </w:style>
  <w:style w:type="paragraph" w:styleId="a4">
    <w:name w:val="List"/>
    <w:basedOn w:val="a0"/>
    <w:rsid w:val="00E10CDA"/>
    <w:rPr>
      <w:rFonts w:cs="Lohit Hindi"/>
    </w:rPr>
  </w:style>
  <w:style w:type="paragraph" w:styleId="a5">
    <w:name w:val="caption"/>
    <w:basedOn w:val="a"/>
    <w:qFormat/>
    <w:rsid w:val="00E10CDA"/>
    <w:pPr>
      <w:suppressLineNumbers/>
      <w:spacing w:before="120" w:after="120"/>
    </w:pPr>
    <w:rPr>
      <w:rFonts w:cs="Lohit Hindi"/>
      <w:i/>
      <w:iCs/>
      <w:sz w:val="24"/>
      <w:szCs w:val="24"/>
    </w:rPr>
  </w:style>
  <w:style w:type="paragraph" w:customStyle="1" w:styleId="Index">
    <w:name w:val="Index"/>
    <w:basedOn w:val="a"/>
    <w:rsid w:val="00E10CDA"/>
    <w:pPr>
      <w:suppressLineNumbers/>
    </w:pPr>
    <w:rPr>
      <w:rFonts w:cs="Lohit Hindi"/>
    </w:rPr>
  </w:style>
  <w:style w:type="paragraph" w:customStyle="1" w:styleId="Abstract">
    <w:name w:val="Abstract"/>
    <w:rsid w:val="00E10CDA"/>
    <w:pPr>
      <w:suppressAutoHyphens/>
      <w:spacing w:after="200"/>
      <w:ind w:firstLine="170"/>
      <w:jc w:val="both"/>
    </w:pPr>
    <w:rPr>
      <w:rFonts w:eastAsia="SimSun"/>
      <w:b/>
      <w:bCs/>
      <w:sz w:val="18"/>
      <w:szCs w:val="18"/>
      <w:lang w:eastAsia="zh-CN"/>
    </w:rPr>
  </w:style>
  <w:style w:type="paragraph" w:customStyle="1" w:styleId="Affiliation">
    <w:name w:val="Affiliation"/>
    <w:rsid w:val="00E10CDA"/>
    <w:pPr>
      <w:suppressAutoHyphens/>
      <w:jc w:val="center"/>
    </w:pPr>
    <w:rPr>
      <w:rFonts w:eastAsia="SimSun"/>
      <w:lang w:eastAsia="zh-CN"/>
    </w:rPr>
  </w:style>
  <w:style w:type="paragraph" w:customStyle="1" w:styleId="Author">
    <w:name w:val="Author"/>
    <w:rsid w:val="00E10CDA"/>
    <w:pPr>
      <w:suppressAutoHyphens/>
      <w:spacing w:before="360" w:after="40"/>
      <w:jc w:val="center"/>
    </w:pPr>
    <w:rPr>
      <w:rFonts w:eastAsia="SimSun"/>
      <w:sz w:val="22"/>
      <w:szCs w:val="22"/>
    </w:rPr>
  </w:style>
  <w:style w:type="paragraph" w:customStyle="1" w:styleId="bulletlist">
    <w:name w:val="bullet list"/>
    <w:basedOn w:val="a0"/>
    <w:rsid w:val="00E10CDA"/>
    <w:pPr>
      <w:tabs>
        <w:tab w:val="left" w:pos="648"/>
      </w:tabs>
      <w:ind w:left="648" w:hanging="360"/>
    </w:pPr>
  </w:style>
  <w:style w:type="paragraph" w:customStyle="1" w:styleId="equation">
    <w:name w:val="equation"/>
    <w:basedOn w:val="a"/>
    <w:rsid w:val="00E10CD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10CDA"/>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E10CDA"/>
    <w:pPr>
      <w:tabs>
        <w:tab w:val="left" w:pos="648"/>
      </w:tabs>
      <w:suppressAutoHyphens/>
      <w:spacing w:after="40"/>
      <w:ind w:firstLine="288"/>
    </w:pPr>
    <w:rPr>
      <w:rFonts w:eastAsia="SimSun"/>
      <w:sz w:val="16"/>
      <w:szCs w:val="16"/>
      <w:lang w:eastAsia="zh-CN"/>
    </w:rPr>
  </w:style>
  <w:style w:type="paragraph" w:customStyle="1" w:styleId="keywords">
    <w:name w:val="key words"/>
    <w:rsid w:val="00E10CDA"/>
    <w:pPr>
      <w:suppressAutoHyphens/>
      <w:spacing w:after="120"/>
      <w:ind w:firstLine="288"/>
      <w:jc w:val="both"/>
    </w:pPr>
    <w:rPr>
      <w:rFonts w:eastAsia="SimSun"/>
      <w:b/>
      <w:bCs/>
      <w:iCs/>
      <w:sz w:val="18"/>
      <w:szCs w:val="18"/>
    </w:rPr>
  </w:style>
  <w:style w:type="paragraph" w:customStyle="1" w:styleId="papersubtitle">
    <w:name w:val="paper subtitle"/>
    <w:rsid w:val="00E10CDA"/>
    <w:pPr>
      <w:suppressAutoHyphens/>
      <w:spacing w:after="120"/>
      <w:jc w:val="center"/>
    </w:pPr>
    <w:rPr>
      <w:rFonts w:eastAsia="MS Mincho"/>
      <w:sz w:val="28"/>
      <w:szCs w:val="28"/>
    </w:rPr>
  </w:style>
  <w:style w:type="paragraph" w:customStyle="1" w:styleId="papertitle">
    <w:name w:val="paper title"/>
    <w:rsid w:val="00E10CDA"/>
    <w:pPr>
      <w:suppressAutoHyphens/>
      <w:spacing w:after="120"/>
      <w:jc w:val="center"/>
    </w:pPr>
    <w:rPr>
      <w:rFonts w:eastAsia="MS Mincho"/>
      <w:sz w:val="48"/>
      <w:szCs w:val="48"/>
    </w:rPr>
  </w:style>
  <w:style w:type="paragraph" w:customStyle="1" w:styleId="references">
    <w:name w:val="references"/>
    <w:rsid w:val="00E10CDA"/>
    <w:pPr>
      <w:suppressAutoHyphens/>
      <w:spacing w:after="50" w:line="180" w:lineRule="atLeast"/>
      <w:jc w:val="both"/>
    </w:pPr>
    <w:rPr>
      <w:rFonts w:eastAsia="MS Mincho"/>
      <w:sz w:val="18"/>
      <w:szCs w:val="16"/>
    </w:rPr>
  </w:style>
  <w:style w:type="paragraph" w:customStyle="1" w:styleId="sponsors">
    <w:name w:val="sponsors"/>
    <w:rsid w:val="00E10CDA"/>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a"/>
    <w:rsid w:val="00E10CDA"/>
    <w:rPr>
      <w:b/>
      <w:bCs/>
      <w:sz w:val="16"/>
      <w:szCs w:val="16"/>
    </w:rPr>
  </w:style>
  <w:style w:type="paragraph" w:customStyle="1" w:styleId="tablecolsubhead">
    <w:name w:val="table col subhead"/>
    <w:basedOn w:val="tablecolhead"/>
    <w:rsid w:val="00E10CDA"/>
    <w:rPr>
      <w:i/>
      <w:iCs/>
      <w:sz w:val="15"/>
      <w:szCs w:val="15"/>
    </w:rPr>
  </w:style>
  <w:style w:type="paragraph" w:customStyle="1" w:styleId="tablecopy">
    <w:name w:val="table copy"/>
    <w:rsid w:val="00E10CDA"/>
    <w:pPr>
      <w:suppressAutoHyphens/>
      <w:jc w:val="both"/>
    </w:pPr>
    <w:rPr>
      <w:rFonts w:eastAsia="SimSun"/>
      <w:sz w:val="16"/>
      <w:szCs w:val="16"/>
    </w:rPr>
  </w:style>
  <w:style w:type="paragraph" w:customStyle="1" w:styleId="tablefootnote">
    <w:name w:val="table footnote"/>
    <w:rsid w:val="00E10CDA"/>
    <w:pPr>
      <w:suppressAutoHyphens/>
      <w:spacing w:before="60" w:after="30"/>
      <w:jc w:val="right"/>
    </w:pPr>
    <w:rPr>
      <w:rFonts w:eastAsia="SimSun"/>
      <w:sz w:val="12"/>
      <w:szCs w:val="12"/>
      <w:lang w:eastAsia="zh-CN"/>
    </w:rPr>
  </w:style>
  <w:style w:type="paragraph" w:customStyle="1" w:styleId="tablehead">
    <w:name w:val="table head"/>
    <w:rsid w:val="00E10CDA"/>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a0"/>
    <w:rsid w:val="00E10CDA"/>
  </w:style>
  <w:style w:type="paragraph" w:customStyle="1" w:styleId="TableContents">
    <w:name w:val="Table Contents"/>
    <w:basedOn w:val="a"/>
    <w:rsid w:val="00E10CDA"/>
    <w:pPr>
      <w:suppressLineNumbers/>
    </w:pPr>
  </w:style>
  <w:style w:type="paragraph" w:customStyle="1" w:styleId="TableHeading">
    <w:name w:val="Table Heading"/>
    <w:basedOn w:val="TableContents"/>
    <w:rsid w:val="00E10CDA"/>
    <w:rPr>
      <w:b/>
      <w:bCs/>
    </w:rPr>
  </w:style>
  <w:style w:type="paragraph" w:styleId="a6">
    <w:name w:val="Normal (Web)"/>
    <w:basedOn w:val="a"/>
    <w:rsid w:val="00E5535F"/>
    <w:pPr>
      <w:suppressAutoHyphens w:val="0"/>
      <w:spacing w:before="100" w:beforeAutospacing="1" w:after="100" w:afterAutospacing="1"/>
      <w:jc w:val="left"/>
    </w:pPr>
    <w:rPr>
      <w:rFonts w:eastAsia="Times New Roman"/>
      <w:sz w:val="24"/>
      <w:szCs w:val="24"/>
      <w:lang w:eastAsia="en-US"/>
    </w:rPr>
  </w:style>
  <w:style w:type="character" w:customStyle="1" w:styleId="apple-converted-space">
    <w:name w:val="apple-converted-space"/>
    <w:rsid w:val="00E5535F"/>
  </w:style>
  <w:style w:type="character" w:styleId="Hyperlink">
    <w:name w:val="Hyperlink"/>
    <w:uiPriority w:val="99"/>
    <w:unhideWhenUsed/>
    <w:rsid w:val="00FA3409"/>
    <w:rPr>
      <w:color w:val="0000FF"/>
      <w:u w:val="single"/>
    </w:rPr>
  </w:style>
  <w:style w:type="paragraph" w:styleId="a7">
    <w:name w:val="footnote text"/>
    <w:basedOn w:val="a"/>
    <w:link w:val="Char"/>
    <w:uiPriority w:val="99"/>
    <w:semiHidden/>
    <w:rsid w:val="000C4416"/>
    <w:pPr>
      <w:widowControl w:val="0"/>
      <w:suppressAutoHyphens w:val="0"/>
      <w:autoSpaceDE w:val="0"/>
      <w:autoSpaceDN w:val="0"/>
      <w:adjustRightInd w:val="0"/>
      <w:jc w:val="left"/>
    </w:pPr>
    <w:rPr>
      <w:rFonts w:ascii="Arial" w:eastAsia="Times New Roman" w:hAnsi="Arial"/>
    </w:rPr>
  </w:style>
  <w:style w:type="character" w:customStyle="1" w:styleId="Char">
    <w:name w:val="نص حاشية سفلية Char"/>
    <w:link w:val="a7"/>
    <w:uiPriority w:val="99"/>
    <w:semiHidden/>
    <w:rsid w:val="000C4416"/>
    <w:rPr>
      <w:rFonts w:ascii="Arial" w:hAnsi="Arial"/>
    </w:rPr>
  </w:style>
  <w:style w:type="character" w:styleId="a8">
    <w:name w:val="footnote reference"/>
    <w:uiPriority w:val="99"/>
    <w:semiHidden/>
    <w:rsid w:val="000C4416"/>
    <w:rPr>
      <w:rFonts w:cs="Times New Roman"/>
      <w:vertAlign w:val="superscript"/>
    </w:rPr>
  </w:style>
  <w:style w:type="paragraph" w:styleId="a9">
    <w:name w:val="header"/>
    <w:basedOn w:val="a"/>
    <w:link w:val="Char0"/>
    <w:uiPriority w:val="99"/>
    <w:unhideWhenUsed/>
    <w:rsid w:val="000C4416"/>
    <w:pPr>
      <w:tabs>
        <w:tab w:val="center" w:pos="4153"/>
        <w:tab w:val="right" w:pos="8306"/>
      </w:tabs>
    </w:pPr>
  </w:style>
  <w:style w:type="character" w:customStyle="1" w:styleId="Char0">
    <w:name w:val="رأس صفحة Char"/>
    <w:link w:val="a9"/>
    <w:uiPriority w:val="99"/>
    <w:rsid w:val="000C4416"/>
    <w:rPr>
      <w:rFonts w:eastAsia="SimSun"/>
      <w:lang w:eastAsia="zh-CN"/>
    </w:rPr>
  </w:style>
  <w:style w:type="paragraph" w:styleId="aa">
    <w:name w:val="footer"/>
    <w:basedOn w:val="a"/>
    <w:link w:val="Char1"/>
    <w:uiPriority w:val="99"/>
    <w:unhideWhenUsed/>
    <w:rsid w:val="000C4416"/>
    <w:pPr>
      <w:tabs>
        <w:tab w:val="center" w:pos="4153"/>
        <w:tab w:val="right" w:pos="8306"/>
      </w:tabs>
    </w:pPr>
  </w:style>
  <w:style w:type="character" w:customStyle="1" w:styleId="Char1">
    <w:name w:val="تذييل صفحة Char"/>
    <w:link w:val="aa"/>
    <w:uiPriority w:val="99"/>
    <w:rsid w:val="000C4416"/>
    <w:rPr>
      <w:rFonts w:eastAsia="SimSun"/>
      <w:lang w:eastAsia="zh-CN"/>
    </w:rPr>
  </w:style>
  <w:style w:type="table" w:styleId="ab">
    <w:name w:val="Table Grid"/>
    <w:basedOn w:val="a2"/>
    <w:rsid w:val="00D768D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سرد الفقرات1"/>
    <w:basedOn w:val="a"/>
    <w:qFormat/>
    <w:rsid w:val="00006F7B"/>
    <w:pPr>
      <w:suppressAutoHyphens w:val="0"/>
      <w:bidi/>
      <w:spacing w:after="200" w:line="276" w:lineRule="auto"/>
      <w:ind w:left="720"/>
      <w:contextualSpacing/>
      <w:jc w:val="left"/>
    </w:pPr>
    <w:rPr>
      <w:rFonts w:ascii="Calibri" w:eastAsia="Times New Roman" w:hAnsi="Calibri" w:cs="Arial"/>
      <w:sz w:val="22"/>
      <w:szCs w:val="22"/>
      <w:lang w:eastAsia="en-US"/>
    </w:rPr>
  </w:style>
  <w:style w:type="paragraph" w:styleId="ac">
    <w:name w:val="List Paragraph"/>
    <w:basedOn w:val="a"/>
    <w:uiPriority w:val="34"/>
    <w:qFormat/>
    <w:rsid w:val="00EC0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841-3805-4C01-92BC-1A526124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p:lastModifiedBy>
  <cp:revision>24</cp:revision>
  <cp:lastPrinted>2013-04-30T13:38:00Z</cp:lastPrinted>
  <dcterms:created xsi:type="dcterms:W3CDTF">2013-06-12T07:22:00Z</dcterms:created>
  <dcterms:modified xsi:type="dcterms:W3CDTF">2013-06-20T12:27:00Z</dcterms:modified>
</cp:coreProperties>
</file>