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05" w:rsidRPr="00DA2B05" w:rsidRDefault="00DA2B05" w:rsidP="00DA2B05">
      <w:pPr>
        <w:jc w:val="center"/>
        <w:rPr>
          <w:rFonts w:asciiTheme="majorBidi" w:eastAsia="Calibri" w:hAnsiTheme="majorBidi" w:cstheme="majorBidi"/>
          <w:sz w:val="48"/>
          <w:szCs w:val="48"/>
          <w:rtl/>
        </w:rPr>
      </w:pPr>
      <w:r w:rsidRPr="00DA2B05">
        <w:rPr>
          <w:rFonts w:asciiTheme="majorBidi" w:eastAsia="Calibri" w:hAnsiTheme="majorBidi" w:cstheme="majorBidi"/>
          <w:sz w:val="48"/>
          <w:szCs w:val="48"/>
          <w:rtl/>
        </w:rPr>
        <w:t xml:space="preserve">كلام "البلقيني" في المباحث التي تدور </w:t>
      </w:r>
    </w:p>
    <w:p w:rsidR="00C233A5" w:rsidRPr="00DA2B05" w:rsidRDefault="00DA2B05" w:rsidP="00DA2B05">
      <w:pPr>
        <w:jc w:val="center"/>
        <w:rPr>
          <w:rFonts w:asciiTheme="majorBidi" w:hAnsiTheme="majorBidi" w:cstheme="majorBidi"/>
          <w:sz w:val="48"/>
          <w:szCs w:val="48"/>
          <w:rtl/>
        </w:rPr>
      </w:pPr>
      <w:r w:rsidRPr="00DA2B05">
        <w:rPr>
          <w:rFonts w:asciiTheme="majorBidi" w:eastAsia="Calibri" w:hAnsiTheme="majorBidi" w:cstheme="majorBidi"/>
          <w:sz w:val="48"/>
          <w:szCs w:val="48"/>
          <w:rtl/>
        </w:rPr>
        <w:t>حولها في الغالب علوم القرآن</w:t>
      </w:r>
    </w:p>
    <w:p w:rsidR="00E20967" w:rsidRPr="007E1CFD" w:rsidRDefault="00E20967" w:rsidP="00E20967">
      <w:pPr>
        <w:spacing w:line="500" w:lineRule="exact"/>
        <w:jc w:val="center"/>
        <w:rPr>
          <w:rFonts w:ascii="Calibri" w:eastAsia="Calibri" w:hAnsi="Calibri" w:cs="AGA Rasheeq Bold"/>
          <w:color w:val="4F81BD"/>
          <w:sz w:val="40"/>
          <w:szCs w:val="40"/>
          <w:rtl/>
        </w:rPr>
      </w:pPr>
      <w:r>
        <w:rPr>
          <w:rFonts w:hint="cs"/>
          <w:i/>
          <w:iCs/>
          <w:rtl/>
        </w:rPr>
        <w:t>مبحث فى</w:t>
      </w:r>
      <w:r w:rsidRPr="007E1CFD">
        <w:rPr>
          <w:rFonts w:hint="cs"/>
          <w:i/>
          <w:iCs/>
          <w:sz w:val="18"/>
          <w:szCs w:val="18"/>
          <w:rtl/>
        </w:rPr>
        <w:t xml:space="preserve"> </w:t>
      </w:r>
      <w:r w:rsidRPr="007E1CFD">
        <w:rPr>
          <w:rFonts w:ascii="Calibri" w:eastAsia="Calibri" w:hAnsi="Calibri" w:cs="AGA Rasheeq Bold" w:hint="cs"/>
          <w:sz w:val="18"/>
          <w:szCs w:val="18"/>
          <w:rtl/>
        </w:rPr>
        <w:t>مدخل إلى علوم القرآن</w:t>
      </w:r>
    </w:p>
    <w:p w:rsidR="00E20967" w:rsidRPr="00202F60" w:rsidRDefault="00E20967" w:rsidP="00202F60">
      <w:pPr>
        <w:pStyle w:val="Author"/>
        <w:bidi/>
        <w:rPr>
          <w:i/>
          <w:iCs/>
          <w:sz w:val="20"/>
          <w:szCs w:val="20"/>
          <w:lang w:eastAsia="zh-CN"/>
        </w:rPr>
      </w:pPr>
      <w:r w:rsidRPr="00202F60">
        <w:rPr>
          <w:rFonts w:hint="cs"/>
          <w:i/>
          <w:iCs/>
          <w:sz w:val="20"/>
          <w:szCs w:val="20"/>
          <w:rtl/>
          <w:lang w:eastAsia="zh-CN"/>
        </w:rPr>
        <w:t xml:space="preserve">إعداد / </w:t>
      </w:r>
      <w:r w:rsidR="00202F60" w:rsidRPr="00202F60">
        <w:rPr>
          <w:i/>
          <w:iCs/>
          <w:sz w:val="20"/>
          <w:szCs w:val="20"/>
          <w:rtl/>
          <w:lang w:eastAsia="zh-CN"/>
        </w:rPr>
        <w:t>عادل محمد فتحي</w:t>
      </w:r>
      <w:r w:rsidR="00202F60" w:rsidRPr="00202F60">
        <w:rPr>
          <w:rFonts w:hint="cs"/>
          <w:i/>
          <w:iCs/>
          <w:sz w:val="20"/>
          <w:szCs w:val="20"/>
          <w:rtl/>
          <w:lang w:eastAsia="zh-CN"/>
        </w:rPr>
        <w:t xml:space="preserve">  </w:t>
      </w:r>
    </w:p>
    <w:p w:rsidR="00E20967" w:rsidRPr="00202F60" w:rsidRDefault="00E20967" w:rsidP="00E20967">
      <w:pPr>
        <w:pStyle w:val="Affiliation"/>
        <w:bidi/>
        <w:rPr>
          <w:i/>
          <w:iCs/>
        </w:rPr>
      </w:pPr>
      <w:r>
        <w:rPr>
          <w:rFonts w:hint="cs"/>
          <w:i/>
          <w:iCs/>
          <w:rtl/>
        </w:rPr>
        <w:t>قسم الدعوة وأصول الدين</w:t>
      </w:r>
    </w:p>
    <w:p w:rsidR="00E20967" w:rsidRPr="00202F60" w:rsidRDefault="00E20967" w:rsidP="00E20967">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202F60">
        <w:rPr>
          <w:i/>
          <w:iCs/>
        </w:rPr>
        <w:t xml:space="preserve"> </w:t>
      </w:r>
    </w:p>
    <w:p w:rsidR="00E20967" w:rsidRPr="00202F60" w:rsidRDefault="00E20967" w:rsidP="00E20967">
      <w:pPr>
        <w:pStyle w:val="Affiliation"/>
        <w:bidi/>
        <w:rPr>
          <w:i/>
          <w:iCs/>
          <w:rtl/>
        </w:rPr>
      </w:pPr>
      <w:r w:rsidRPr="00202F60">
        <w:rPr>
          <w:rFonts w:hint="cs"/>
          <w:i/>
          <w:iCs/>
          <w:rtl/>
        </w:rPr>
        <w:t>شاه علم - ماليزيا</w:t>
      </w:r>
    </w:p>
    <w:p w:rsidR="00DA2B05" w:rsidRPr="00202F60" w:rsidRDefault="00202F60" w:rsidP="00202F60">
      <w:pPr>
        <w:spacing w:line="240" w:lineRule="auto"/>
        <w:jc w:val="center"/>
        <w:rPr>
          <w:rFonts w:ascii="Times New Roman" w:eastAsia="SimSun" w:hAnsi="Times New Roman" w:cs="Times New Roman"/>
          <w:i/>
          <w:iCs/>
          <w:sz w:val="20"/>
          <w:szCs w:val="20"/>
          <w:rtl/>
          <w:lang w:eastAsia="zh-CN"/>
        </w:rPr>
        <w:sectPr w:rsidR="00DA2B05" w:rsidRPr="00202F60" w:rsidSect="005C15CC">
          <w:pgSz w:w="11906" w:h="16838"/>
          <w:pgMar w:top="1440" w:right="1440" w:bottom="1440" w:left="1440" w:header="720" w:footer="720" w:gutter="0"/>
          <w:cols w:space="720"/>
          <w:bidi/>
          <w:rtlGutter/>
          <w:docGrid w:linePitch="360"/>
        </w:sectPr>
      </w:pPr>
      <w:hyperlink r:id="rId5" w:history="1">
        <w:r w:rsidRPr="00202F60">
          <w:rPr>
            <w:rFonts w:ascii="Times New Roman" w:eastAsia="SimSun" w:hAnsi="Times New Roman" w:cs="Times New Roman"/>
            <w:i/>
            <w:iCs/>
            <w:sz w:val="20"/>
            <w:szCs w:val="20"/>
            <w:lang w:eastAsia="zh-CN"/>
          </w:rPr>
          <w:t>adel.mater@mediu.ws</w:t>
        </w:r>
      </w:hyperlink>
    </w:p>
    <w:p w:rsidR="00DA2B05" w:rsidRPr="00DA2B05" w:rsidRDefault="00DA2B05" w:rsidP="00DA2B05">
      <w:pPr>
        <w:jc w:val="center"/>
        <w:rPr>
          <w:rFonts w:asciiTheme="majorBidi" w:eastAsia="Calibri" w:hAnsiTheme="majorBidi" w:cstheme="majorBidi"/>
          <w:b/>
          <w:bCs/>
          <w:sz w:val="18"/>
          <w:szCs w:val="18"/>
          <w:rtl/>
        </w:rPr>
      </w:pPr>
      <w:r w:rsidRPr="00DA2B05">
        <w:rPr>
          <w:rFonts w:asciiTheme="majorBidi" w:hAnsiTheme="majorBidi" w:cstheme="majorBidi"/>
          <w:b/>
          <w:bCs/>
          <w:sz w:val="18"/>
          <w:szCs w:val="18"/>
          <w:rtl/>
        </w:rPr>
        <w:lastRenderedPageBreak/>
        <w:t xml:space="preserve">الخلاصة – هذا البحث يبحث </w:t>
      </w:r>
      <w:r w:rsidRPr="00DA2B05">
        <w:rPr>
          <w:rFonts w:asciiTheme="majorBidi" w:eastAsia="Calibri" w:hAnsiTheme="majorBidi" w:cstheme="majorBidi"/>
          <w:b/>
          <w:bCs/>
          <w:sz w:val="18"/>
          <w:szCs w:val="18"/>
          <w:rtl/>
        </w:rPr>
        <w:t xml:space="preserve">كلام "البلقيني" في المباحث التي تدور </w:t>
      </w:r>
    </w:p>
    <w:p w:rsidR="00DA2B05" w:rsidRPr="00DA2B05" w:rsidRDefault="00DA2B05" w:rsidP="00DA2B05">
      <w:pPr>
        <w:rPr>
          <w:rFonts w:asciiTheme="majorBidi" w:hAnsiTheme="majorBidi" w:cstheme="majorBidi"/>
          <w:b/>
          <w:bCs/>
          <w:sz w:val="18"/>
          <w:szCs w:val="18"/>
          <w:rtl/>
        </w:rPr>
      </w:pPr>
      <w:r w:rsidRPr="00DA2B05">
        <w:rPr>
          <w:rFonts w:asciiTheme="majorBidi" w:eastAsia="Calibri" w:hAnsiTheme="majorBidi" w:cstheme="majorBidi"/>
          <w:b/>
          <w:bCs/>
          <w:sz w:val="18"/>
          <w:szCs w:val="18"/>
          <w:rtl/>
        </w:rPr>
        <w:t>حولها في الغالب علوم القرآن</w:t>
      </w:r>
    </w:p>
    <w:p w:rsidR="00DA2B05" w:rsidRPr="00DA2B05" w:rsidRDefault="00DA2B05" w:rsidP="00DA2B05">
      <w:pPr>
        <w:spacing w:before="60" w:line="240" w:lineRule="auto"/>
        <w:rPr>
          <w:rFonts w:asciiTheme="majorBidi" w:eastAsia="Calibri" w:hAnsiTheme="majorBidi" w:cstheme="majorBidi"/>
          <w:b/>
          <w:bCs/>
          <w:sz w:val="18"/>
          <w:szCs w:val="18"/>
          <w:rtl/>
        </w:rPr>
      </w:pPr>
      <w:r w:rsidRPr="00DA2B05">
        <w:rPr>
          <w:rFonts w:asciiTheme="majorBidi" w:eastAsia="Calibri" w:hAnsiTheme="majorBidi" w:cstheme="majorBidi"/>
          <w:b/>
          <w:bCs/>
          <w:sz w:val="18"/>
          <w:szCs w:val="18"/>
          <w:rtl/>
        </w:rPr>
        <w:t xml:space="preserve">الكلمات المفتاحية – </w:t>
      </w:r>
      <w:r>
        <w:rPr>
          <w:rFonts w:asciiTheme="majorBidi" w:eastAsia="Calibri" w:hAnsiTheme="majorBidi" w:cstheme="majorBidi" w:hint="cs"/>
          <w:b/>
          <w:bCs/>
          <w:sz w:val="18"/>
          <w:szCs w:val="18"/>
          <w:rtl/>
        </w:rPr>
        <w:t>السند</w:t>
      </w:r>
      <w:r w:rsidRPr="00DA2B05">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الاحكام</w:t>
      </w:r>
      <w:r w:rsidRPr="00DA2B05">
        <w:rPr>
          <w:rFonts w:asciiTheme="majorBidi" w:eastAsia="Calibri" w:hAnsiTheme="majorBidi" w:cstheme="majorBidi"/>
          <w:b/>
          <w:bCs/>
          <w:sz w:val="18"/>
          <w:szCs w:val="18"/>
          <w:rtl/>
        </w:rPr>
        <w:t xml:space="preserve"> ، </w:t>
      </w:r>
      <w:r>
        <w:rPr>
          <w:rFonts w:asciiTheme="majorBidi" w:eastAsia="Calibri" w:hAnsiTheme="majorBidi" w:cstheme="majorBidi" w:hint="cs"/>
          <w:b/>
          <w:bCs/>
          <w:sz w:val="18"/>
          <w:szCs w:val="18"/>
          <w:rtl/>
        </w:rPr>
        <w:t>المجاز</w:t>
      </w:r>
    </w:p>
    <w:p w:rsidR="00DA2B05" w:rsidRPr="00DA2B05" w:rsidRDefault="00DA2B05" w:rsidP="00DA2B05">
      <w:pPr>
        <w:pStyle w:val="ListParagraph"/>
        <w:numPr>
          <w:ilvl w:val="0"/>
          <w:numId w:val="2"/>
        </w:numPr>
        <w:spacing w:before="60" w:line="240" w:lineRule="auto"/>
        <w:ind w:left="82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DA2B05">
        <w:rPr>
          <w:rFonts w:asciiTheme="majorBidi" w:hAnsiTheme="majorBidi" w:cstheme="majorBidi"/>
          <w:b/>
          <w:bCs/>
          <w:sz w:val="18"/>
          <w:szCs w:val="18"/>
          <w:rtl/>
        </w:rPr>
        <w:t>المقدمة</w:t>
      </w:r>
    </w:p>
    <w:p w:rsidR="00DA2B05" w:rsidRPr="00DA2B05" w:rsidRDefault="00DA2B05" w:rsidP="00DA2B05">
      <w:pPr>
        <w:rPr>
          <w:rFonts w:asciiTheme="majorBidi" w:eastAsia="Calibri" w:hAnsiTheme="majorBidi" w:cstheme="majorBidi"/>
          <w:b/>
          <w:bCs/>
          <w:sz w:val="18"/>
          <w:szCs w:val="18"/>
          <w:rtl/>
        </w:rPr>
      </w:pPr>
      <w:r w:rsidRPr="00DA2B05">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DA2B05">
        <w:rPr>
          <w:rFonts w:asciiTheme="majorBidi" w:eastAsia="Calibri" w:hAnsiTheme="majorBidi" w:cstheme="majorBidi"/>
          <w:b/>
          <w:bCs/>
          <w:sz w:val="18"/>
          <w:szCs w:val="18"/>
          <w:rtl/>
        </w:rPr>
        <w:t>كلام "البلقيني" في المباحث التي تدور حولها في الغالب علوم القرآن</w:t>
      </w:r>
    </w:p>
    <w:p w:rsidR="00DA2B05" w:rsidRPr="00DA2B05" w:rsidRDefault="00DA2B05" w:rsidP="00DA2B05">
      <w:pPr>
        <w:pStyle w:val="ListParagraph"/>
        <w:numPr>
          <w:ilvl w:val="0"/>
          <w:numId w:val="3"/>
        </w:numPr>
        <w:spacing w:line="240" w:lineRule="auto"/>
        <w:ind w:left="82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DA2B05">
        <w:rPr>
          <w:rFonts w:asciiTheme="majorBidi" w:hAnsiTheme="majorBidi" w:cstheme="majorBidi"/>
          <w:b/>
          <w:bCs/>
          <w:sz w:val="18"/>
          <w:szCs w:val="18"/>
          <w:rtl/>
        </w:rPr>
        <w:t>عنوان المقال</w:t>
      </w:r>
    </w:p>
    <w:p w:rsidR="00DA2B05" w:rsidRPr="00DA2B05" w:rsidRDefault="00DA2B05" w:rsidP="00DA2B05">
      <w:pPr>
        <w:widowControl w:val="0"/>
        <w:spacing w:after="120" w:line="240" w:lineRule="auto"/>
        <w:jc w:val="lowKashida"/>
        <w:rPr>
          <w:rFonts w:asciiTheme="majorBidi" w:hAnsiTheme="majorBidi" w:cstheme="majorBidi"/>
          <w:b/>
          <w:bCs/>
          <w:sz w:val="18"/>
          <w:szCs w:val="18"/>
          <w:rtl/>
        </w:rPr>
      </w:pPr>
      <w:r w:rsidRPr="00DA2B05">
        <w:rPr>
          <w:rFonts w:asciiTheme="majorBidi" w:hAnsiTheme="majorBidi" w:cstheme="majorBidi"/>
          <w:b/>
          <w:bCs/>
          <w:sz w:val="18"/>
          <w:szCs w:val="18"/>
          <w:rtl/>
        </w:rPr>
        <w:t xml:space="preserve">كتاب (مواقع العلوم من مواقع النجوم)، ذكر في مقدمته ما وصل إلى علمه مما حواه القرآن الشريف من أنواع علمه المنيف، فذكر أمورًا ستة: </w:t>
      </w:r>
    </w:p>
    <w:p w:rsidR="00DA2B05" w:rsidRPr="00DA2B05" w:rsidRDefault="00DA2B05" w:rsidP="00DA2B05">
      <w:pPr>
        <w:widowControl w:val="0"/>
        <w:spacing w:after="120" w:line="240" w:lineRule="auto"/>
        <w:ind w:left="1134" w:hanging="1134"/>
        <w:jc w:val="lowKashida"/>
        <w:rPr>
          <w:rFonts w:asciiTheme="majorBidi" w:hAnsiTheme="majorBidi" w:cstheme="majorBidi"/>
          <w:b/>
          <w:bCs/>
          <w:sz w:val="18"/>
          <w:szCs w:val="18"/>
          <w:rtl/>
        </w:rPr>
      </w:pPr>
      <w:r w:rsidRPr="00DA2B05">
        <w:rPr>
          <w:rFonts w:asciiTheme="majorBidi" w:hAnsiTheme="majorBidi" w:cstheme="majorBidi"/>
          <w:b/>
          <w:bCs/>
          <w:sz w:val="18"/>
          <w:szCs w:val="18"/>
          <w:rtl/>
        </w:rPr>
        <w:t xml:space="preserve">الأمر الأول: مواطن النزول، وأوقاته، ووقائعه؛ وفي ذلك اثنا عشر نوعًا: المكي، المدني، السفري، الحضري، الليلي، النهاري، الصيفي، الشتائي، الفراشي، النومي، أسباب النزول، أول ما نزل، آخر ما نزل. </w:t>
      </w:r>
    </w:p>
    <w:p w:rsidR="00DA2B05" w:rsidRPr="00DA2B05" w:rsidRDefault="00DA2B05" w:rsidP="00DA2B05">
      <w:pPr>
        <w:widowControl w:val="0"/>
        <w:spacing w:after="120" w:line="240" w:lineRule="auto"/>
        <w:ind w:left="1134" w:hanging="1134"/>
        <w:jc w:val="lowKashida"/>
        <w:rPr>
          <w:rFonts w:asciiTheme="majorBidi" w:hAnsiTheme="majorBidi" w:cstheme="majorBidi"/>
          <w:b/>
          <w:bCs/>
          <w:sz w:val="18"/>
          <w:szCs w:val="18"/>
          <w:rtl/>
        </w:rPr>
      </w:pPr>
      <w:r w:rsidRPr="00DA2B05">
        <w:rPr>
          <w:rFonts w:asciiTheme="majorBidi" w:hAnsiTheme="majorBidi" w:cstheme="majorBidi"/>
          <w:b/>
          <w:bCs/>
          <w:sz w:val="18"/>
          <w:szCs w:val="18"/>
          <w:rtl/>
        </w:rPr>
        <w:t>الأمر الثاني: السند، وهو ستة أنواع: المتواتر، الآحاد، الشاذ، قراءات النبي</w:t>
      </w:r>
      <w:r w:rsidRPr="00DA2B05">
        <w:rPr>
          <w:rFonts w:asciiTheme="majorBidi" w:hAnsiTheme="majorBidi" w:cstheme="majorBidi"/>
          <w:b/>
          <w:bCs/>
          <w:position w:val="-4"/>
          <w:sz w:val="18"/>
          <w:szCs w:val="18"/>
        </w:rPr>
        <w:sym w:font="AGA Arabesque" w:char="F065"/>
      </w:r>
      <w:r w:rsidRPr="00DA2B05">
        <w:rPr>
          <w:rFonts w:asciiTheme="majorBidi" w:hAnsiTheme="majorBidi" w:cstheme="majorBidi"/>
          <w:b/>
          <w:bCs/>
          <w:sz w:val="18"/>
          <w:szCs w:val="18"/>
          <w:rtl/>
        </w:rPr>
        <w:t xml:space="preserve">، الرواة، الحفاظ. </w:t>
      </w:r>
    </w:p>
    <w:p w:rsidR="00DA2B05" w:rsidRPr="00DA2B05" w:rsidRDefault="00DA2B05" w:rsidP="00DA2B05">
      <w:pPr>
        <w:widowControl w:val="0"/>
        <w:spacing w:after="120" w:line="240" w:lineRule="auto"/>
        <w:ind w:left="1134" w:hanging="1134"/>
        <w:jc w:val="lowKashida"/>
        <w:rPr>
          <w:rFonts w:asciiTheme="majorBidi" w:hAnsiTheme="majorBidi" w:cstheme="majorBidi"/>
          <w:b/>
          <w:bCs/>
          <w:sz w:val="18"/>
          <w:szCs w:val="18"/>
          <w:rtl/>
        </w:rPr>
      </w:pPr>
      <w:r w:rsidRPr="00DA2B05">
        <w:rPr>
          <w:rFonts w:asciiTheme="majorBidi" w:hAnsiTheme="majorBidi" w:cstheme="majorBidi"/>
          <w:b/>
          <w:bCs/>
          <w:sz w:val="18"/>
          <w:szCs w:val="18"/>
          <w:rtl/>
        </w:rPr>
        <w:t>الأمر الثالث: الأداء، وهو ستة أنواع: الوقف، الابتداء، الإمالة، المد، تخفيف الهمزة، الإدغام.</w:t>
      </w:r>
    </w:p>
    <w:p w:rsidR="00DA2B05" w:rsidRPr="00DA2B05" w:rsidRDefault="00DA2B05" w:rsidP="00DA2B05">
      <w:pPr>
        <w:widowControl w:val="0"/>
        <w:spacing w:after="120" w:line="240" w:lineRule="auto"/>
        <w:ind w:left="1134" w:hanging="1134"/>
        <w:jc w:val="lowKashida"/>
        <w:rPr>
          <w:rFonts w:asciiTheme="majorBidi" w:hAnsiTheme="majorBidi" w:cstheme="majorBidi"/>
          <w:b/>
          <w:bCs/>
          <w:sz w:val="18"/>
          <w:szCs w:val="18"/>
          <w:rtl/>
        </w:rPr>
      </w:pPr>
      <w:r w:rsidRPr="00DA2B05">
        <w:rPr>
          <w:rFonts w:asciiTheme="majorBidi" w:hAnsiTheme="majorBidi" w:cstheme="majorBidi"/>
          <w:b/>
          <w:bCs/>
          <w:sz w:val="18"/>
          <w:szCs w:val="18"/>
          <w:rtl/>
        </w:rPr>
        <w:t xml:space="preserve">الأمر الرابع: الألفاظ، وهو سبعة أنواع: الغريب، المعرَّب، المجاز، المشترك، المترادف، الاستعارة، التشبيه. </w:t>
      </w:r>
    </w:p>
    <w:p w:rsidR="00DA2B05" w:rsidRPr="00DA2B05" w:rsidRDefault="00DA2B05" w:rsidP="00DA2B05">
      <w:pPr>
        <w:widowControl w:val="0"/>
        <w:spacing w:after="120" w:line="240" w:lineRule="auto"/>
        <w:ind w:left="1134" w:hanging="1134"/>
        <w:jc w:val="lowKashida"/>
        <w:rPr>
          <w:rFonts w:asciiTheme="majorBidi" w:hAnsiTheme="majorBidi" w:cstheme="majorBidi"/>
          <w:b/>
          <w:bCs/>
          <w:sz w:val="18"/>
          <w:szCs w:val="18"/>
          <w:rtl/>
        </w:rPr>
      </w:pPr>
      <w:r w:rsidRPr="00DA2B05">
        <w:rPr>
          <w:rFonts w:asciiTheme="majorBidi" w:hAnsiTheme="majorBidi" w:cstheme="majorBidi"/>
          <w:b/>
          <w:bCs/>
          <w:sz w:val="18"/>
          <w:szCs w:val="18"/>
          <w:rtl/>
        </w:rPr>
        <w:t xml:space="preserve">الأمر الخامس: المعاني المتعلقة بالأحكام، وهو أربعة عشر نوعًا: العام الباقي على عمومه، العام المخصوص، العام الذي أريد به الخصوص، ما خَص فيه الكتاب السنة، ما خصصت فيه السنة الكتاب، المجمَل، المبيّن، المؤوّل، المفهوم، المطلق، المقيد، الناسخ والمنسوخ، نوع من الناسخ والمنسوخ، وهو ما عمل به من الأحكام مدة معيّنة، والعامل به واحد من المكلفين. </w:t>
      </w:r>
    </w:p>
    <w:p w:rsidR="00DA2B05" w:rsidRPr="00DA2B05" w:rsidRDefault="00DA2B05" w:rsidP="00DA2B05">
      <w:pPr>
        <w:widowControl w:val="0"/>
        <w:spacing w:after="120" w:line="240" w:lineRule="auto"/>
        <w:ind w:left="1134" w:hanging="1134"/>
        <w:jc w:val="lowKashida"/>
        <w:rPr>
          <w:rFonts w:asciiTheme="majorBidi" w:hAnsiTheme="majorBidi" w:cstheme="majorBidi"/>
          <w:b/>
          <w:bCs/>
          <w:sz w:val="18"/>
          <w:szCs w:val="18"/>
          <w:rtl/>
        </w:rPr>
      </w:pPr>
      <w:r w:rsidRPr="00DA2B05">
        <w:rPr>
          <w:rFonts w:asciiTheme="majorBidi" w:hAnsiTheme="majorBidi" w:cstheme="majorBidi"/>
          <w:b/>
          <w:bCs/>
          <w:sz w:val="18"/>
          <w:szCs w:val="18"/>
          <w:rtl/>
        </w:rPr>
        <w:t>الأمر السادس: المعاني المتعلقة بالألفاظ، وهو خمسة أنواع: الفصل، الوصل، الإيجاز، الإطناب، القصر.</w:t>
      </w:r>
    </w:p>
    <w:p w:rsidR="00DA2B05" w:rsidRPr="00DA2B05" w:rsidRDefault="00DA2B05" w:rsidP="00DA2B05">
      <w:pPr>
        <w:widowControl w:val="0"/>
        <w:spacing w:after="120" w:line="240" w:lineRule="auto"/>
        <w:jc w:val="both"/>
        <w:rPr>
          <w:rFonts w:asciiTheme="majorBidi" w:hAnsiTheme="majorBidi" w:cstheme="majorBidi"/>
          <w:b/>
          <w:bCs/>
          <w:sz w:val="18"/>
          <w:szCs w:val="18"/>
          <w:rtl/>
        </w:rPr>
      </w:pPr>
      <w:r w:rsidRPr="00DA2B05">
        <w:rPr>
          <w:rFonts w:asciiTheme="majorBidi" w:hAnsiTheme="majorBidi" w:cstheme="majorBidi"/>
          <w:b/>
          <w:bCs/>
          <w:sz w:val="18"/>
          <w:szCs w:val="18"/>
          <w:rtl/>
        </w:rPr>
        <w:t xml:space="preserve">ثم ذكر قسمًا لا يدخل تحت الحصر، مثل: الأسماء، الكنى، الألقاب، المبهمات. </w:t>
      </w:r>
    </w:p>
    <w:p w:rsidR="00DA2B05" w:rsidRPr="00DA2B05" w:rsidRDefault="00DA2B05" w:rsidP="00DA2B05">
      <w:pPr>
        <w:pStyle w:val="ListParagraph"/>
        <w:spacing w:line="240" w:lineRule="auto"/>
        <w:ind w:left="1003"/>
        <w:rPr>
          <w:rFonts w:asciiTheme="majorBidi" w:hAnsiTheme="majorBidi" w:cstheme="majorBidi"/>
          <w:b/>
          <w:bCs/>
          <w:sz w:val="18"/>
          <w:szCs w:val="18"/>
          <w:rtl/>
        </w:rPr>
      </w:pPr>
      <w:r w:rsidRPr="00DA2B05">
        <w:rPr>
          <w:rFonts w:asciiTheme="majorBidi" w:hAnsiTheme="majorBidi" w:cstheme="majorBidi"/>
          <w:b/>
          <w:bCs/>
          <w:sz w:val="18"/>
          <w:szCs w:val="18"/>
          <w:rtl/>
        </w:rPr>
        <w:t>وهناك قسم جامع سابع، يمكن أن يزاد على كلام البلقيني، وهو ما يتعلق بشرف القرآن، وهو أنواع؛ فمن ذلك: أسماؤه، وأسماء سوَره، وجمعه، وكتابته، وترتيبه، وخواصه، وآداب حامله وتاليه، وفضائله العامة، وفضائل سوَره، وفضل حفّاظه وقارئيه.</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lastRenderedPageBreak/>
        <w:t xml:space="preserve">(الإتقان في علوم القرآن) </w:t>
      </w:r>
    </w:p>
    <w:p w:rsidR="00DA2B05" w:rsidRPr="00DA2B05" w:rsidRDefault="00DA2B05" w:rsidP="00DA2B05">
      <w:pPr>
        <w:spacing w:after="120" w:line="240" w:lineRule="auto"/>
        <w:ind w:left="363" w:hanging="79"/>
        <w:jc w:val="both"/>
        <w:rPr>
          <w:rFonts w:asciiTheme="majorBidi" w:hAnsiTheme="majorBidi" w:cstheme="majorBidi"/>
          <w:b/>
          <w:bCs/>
          <w:sz w:val="18"/>
          <w:szCs w:val="18"/>
        </w:rPr>
      </w:pPr>
      <w:r w:rsidRPr="00DA2B05">
        <w:rPr>
          <w:rFonts w:asciiTheme="majorBidi" w:hAnsiTheme="majorBidi" w:cstheme="majorBidi"/>
          <w:b/>
          <w:bCs/>
          <w:sz w:val="18"/>
          <w:szCs w:val="18"/>
          <w:rtl/>
        </w:rPr>
        <w:t>أبو بكر عبد الرحمن بن الكمال السيوطي, الهيئة المصرية العامة للكتاب، 1974م.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(إعجاز القرآن)</w:t>
      </w:r>
    </w:p>
    <w:p w:rsidR="00DA2B05" w:rsidRPr="00DA2B05" w:rsidRDefault="00DA2B05" w:rsidP="00DA2B05">
      <w:pPr>
        <w:spacing w:after="120" w:line="240" w:lineRule="auto"/>
        <w:ind w:left="363" w:hanging="79"/>
        <w:jc w:val="both"/>
        <w:rPr>
          <w:rFonts w:asciiTheme="majorBidi" w:hAnsiTheme="majorBidi" w:cstheme="majorBidi"/>
          <w:b/>
          <w:bCs/>
          <w:sz w:val="18"/>
          <w:szCs w:val="18"/>
        </w:rPr>
      </w:pPr>
      <w:r w:rsidRPr="00DA2B05">
        <w:rPr>
          <w:rFonts w:asciiTheme="majorBidi" w:hAnsiTheme="majorBidi" w:cstheme="majorBidi"/>
          <w:b/>
          <w:bCs/>
          <w:sz w:val="18"/>
          <w:szCs w:val="18"/>
          <w:rtl/>
        </w:rPr>
        <w:t>أبو بكر بن الطيب الباقلاني، تحقيق: عماد الدين حيدر، مؤسسة الكتب الثقافية، 1991م.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(البرهان في علوم القرآن)</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lang w:eastAsia="ar-SA"/>
        </w:rPr>
        <w:t>محمد بن بهادر بن عبد الله</w:t>
      </w:r>
      <w:r w:rsidRPr="00DA2B05">
        <w:rPr>
          <w:rFonts w:asciiTheme="majorBidi" w:hAnsiTheme="majorBidi" w:cstheme="majorBidi"/>
          <w:b/>
          <w:bCs/>
          <w:sz w:val="18"/>
          <w:szCs w:val="18"/>
          <w:rtl/>
        </w:rPr>
        <w:t xml:space="preserve"> الزركشي، دار الكتب العلمية، 2001م.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(التعريفات)</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rPr>
        <w:t>علي محمد الجرجاني، دار الكتاب المصري، 1991م.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(التوقيف على مهمات التعاريف)</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rPr>
        <w:t>محمد عبد الرؤوف المناوي، عالم الكتب، 1990م.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(صحيح البخاري مع شرحه فتح الباري)</w:t>
      </w:r>
    </w:p>
    <w:p w:rsidR="00DA2B05" w:rsidRPr="00DA2B05" w:rsidRDefault="00DA2B05" w:rsidP="00DA2B05">
      <w:pPr>
        <w:spacing w:after="120" w:line="240" w:lineRule="auto"/>
        <w:ind w:left="363" w:hanging="79"/>
        <w:jc w:val="both"/>
        <w:rPr>
          <w:rFonts w:asciiTheme="majorBidi" w:hAnsiTheme="majorBidi" w:cstheme="majorBidi"/>
          <w:b/>
          <w:bCs/>
          <w:sz w:val="18"/>
          <w:szCs w:val="18"/>
        </w:rPr>
      </w:pPr>
      <w:r w:rsidRPr="00DA2B05">
        <w:rPr>
          <w:rFonts w:asciiTheme="majorBidi" w:hAnsiTheme="majorBidi" w:cstheme="majorBidi"/>
          <w:b/>
          <w:bCs/>
          <w:sz w:val="18"/>
          <w:szCs w:val="18"/>
          <w:rtl/>
        </w:rPr>
        <w:t>ابن حجر العسقلاني، دار الكتب العلمية، 1997م.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(العجاب في بيان الأسباب)</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rPr>
        <w:t xml:space="preserve">ابن حجر العسقلاني، دار ابن الجوزي، 1997م. </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(فضائل القرآن)</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rPr>
        <w:t>أحمد بن شعيب النسائي، مؤسسة الكتب الثقافية، 1985م.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(فيض القدير شرح الجامع الصغير)</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rPr>
        <w:t>محمد بن عبد الرؤوف المناوي، دار المعرفة، 1980م.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(السبعة في القراءات)</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rPr>
        <w:t>أحمد بن موسى بن مجاهد، دار المعارف، 1988م.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(لسان العرب)</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rPr>
        <w:t>محمد بن مكرم بن منظور، طبعة دار إحياء التراث العربي، 1999م.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(مباحث في علوم القرآن)</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rPr>
        <w:t>صبحي الصالح، دار العلم للملايين، 2002م.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(مباحث في علوم القرآن)</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rPr>
        <w:t>مناع خليل القطان، مؤسسة الرسالة للطباعة والنشر والتوزيع، 2000م.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(المستدرك على الصحيحين)</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rPr>
        <w:t>محمد بن عبد الله الحاكم النيسابوري، دار الكتب العلمية، 1990م.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(مناهل العرفان)</w:t>
      </w:r>
    </w:p>
    <w:p w:rsidR="00DA2B05" w:rsidRPr="00DA2B05" w:rsidRDefault="00DA2B05" w:rsidP="00DA2B05">
      <w:pPr>
        <w:spacing w:after="120" w:line="240" w:lineRule="auto"/>
        <w:ind w:left="363" w:hanging="79"/>
        <w:jc w:val="both"/>
        <w:rPr>
          <w:rFonts w:asciiTheme="majorBidi" w:hAnsiTheme="majorBidi" w:cstheme="majorBidi"/>
          <w:b/>
          <w:bCs/>
          <w:sz w:val="18"/>
          <w:szCs w:val="18"/>
        </w:rPr>
      </w:pPr>
      <w:r w:rsidRPr="00DA2B05">
        <w:rPr>
          <w:rFonts w:asciiTheme="majorBidi" w:hAnsiTheme="majorBidi" w:cstheme="majorBidi"/>
          <w:b/>
          <w:bCs/>
          <w:sz w:val="18"/>
          <w:szCs w:val="18"/>
          <w:rtl/>
        </w:rPr>
        <w:lastRenderedPageBreak/>
        <w:t>محمد بن عبد العظيم الزرقاني، دار الكتب العلمية، 2003م.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(التبيان في تفسير غريب القرآن)</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rPr>
        <w:t>شهاب الدين أحمد بن محمد الهائم المصري، المكتبة المحمودية، 1960م.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(دلائل الإعجاز)</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rPr>
        <w:t>عبد القاهر الجرجاني، دار الكتب العلمية، 1988م.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(فهم القرآن)</w:t>
      </w:r>
    </w:p>
    <w:p w:rsidR="00DA2B05" w:rsidRPr="00DA2B05" w:rsidRDefault="00DA2B05" w:rsidP="00DA2B05">
      <w:pPr>
        <w:spacing w:after="120" w:line="240" w:lineRule="auto"/>
        <w:ind w:left="363" w:hanging="79"/>
        <w:jc w:val="both"/>
        <w:rPr>
          <w:rFonts w:asciiTheme="majorBidi" w:hAnsiTheme="majorBidi" w:cstheme="majorBidi"/>
          <w:b/>
          <w:bCs/>
          <w:sz w:val="18"/>
          <w:szCs w:val="18"/>
          <w:rtl/>
        </w:rPr>
      </w:pPr>
      <w:r w:rsidRPr="00DA2B05">
        <w:rPr>
          <w:rFonts w:asciiTheme="majorBidi" w:hAnsiTheme="majorBidi" w:cstheme="majorBidi"/>
          <w:b/>
          <w:bCs/>
          <w:sz w:val="18"/>
          <w:szCs w:val="18"/>
          <w:rtl/>
        </w:rPr>
        <w:t>الحارث بن أسد المحاسبي، دار الكندي للطباعة والنشر، 1982م.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DA2B05">
        <w:rPr>
          <w:rFonts w:asciiTheme="majorBidi" w:hAnsiTheme="majorBidi" w:cstheme="majorBidi"/>
          <w:b/>
          <w:bCs/>
          <w:sz w:val="18"/>
          <w:szCs w:val="18"/>
          <w:rtl/>
        </w:rPr>
        <w:t>(نفائس البيان شرح الفرائد الحسان في عد آي القرآن)</w:t>
      </w:r>
    </w:p>
    <w:p w:rsidR="00DA2B05" w:rsidRPr="00DA2B05" w:rsidRDefault="00DA2B05" w:rsidP="00DA2B05">
      <w:pPr>
        <w:spacing w:after="120" w:line="240" w:lineRule="auto"/>
        <w:ind w:left="363" w:hanging="79"/>
        <w:jc w:val="lowKashida"/>
        <w:rPr>
          <w:rFonts w:asciiTheme="majorBidi" w:hAnsiTheme="majorBidi" w:cstheme="majorBidi"/>
          <w:b/>
          <w:bCs/>
          <w:sz w:val="18"/>
          <w:szCs w:val="18"/>
        </w:rPr>
      </w:pPr>
      <w:r w:rsidRPr="00DA2B05">
        <w:rPr>
          <w:rFonts w:asciiTheme="majorBidi" w:hAnsiTheme="majorBidi" w:cstheme="majorBidi"/>
          <w:b/>
          <w:bCs/>
          <w:sz w:val="18"/>
          <w:szCs w:val="18"/>
          <w:rtl/>
        </w:rPr>
        <w:t>الشيخ عبد الفتاح القاضي، مطبعة عيسى البابي الحلبي، ١٣٥٥هـ.</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(الأصلان في علوم القرآن)</w:t>
      </w:r>
    </w:p>
    <w:p w:rsidR="00DA2B05" w:rsidRPr="00DA2B05" w:rsidRDefault="00DA2B05" w:rsidP="00DA2B05">
      <w:pPr>
        <w:spacing w:after="120" w:line="240" w:lineRule="auto"/>
        <w:ind w:left="363" w:hanging="79"/>
        <w:jc w:val="lowKashida"/>
        <w:rPr>
          <w:rFonts w:asciiTheme="majorBidi" w:hAnsiTheme="majorBidi" w:cstheme="majorBidi"/>
          <w:b/>
          <w:bCs/>
          <w:sz w:val="18"/>
          <w:szCs w:val="18"/>
        </w:rPr>
      </w:pPr>
      <w:r w:rsidRPr="00DA2B05">
        <w:rPr>
          <w:rFonts w:asciiTheme="majorBidi" w:hAnsiTheme="majorBidi" w:cstheme="majorBidi"/>
          <w:b/>
          <w:bCs/>
          <w:sz w:val="18"/>
          <w:szCs w:val="18"/>
          <w:rtl/>
        </w:rPr>
        <w:lastRenderedPageBreak/>
        <w:t>محمد عبد المنعم القيعي، طبعة المكتبات الأزهرية، ١٩٨٠م.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DA2B05">
        <w:rPr>
          <w:rFonts w:asciiTheme="majorBidi" w:hAnsiTheme="majorBidi" w:cstheme="majorBidi"/>
          <w:b/>
          <w:bCs/>
          <w:sz w:val="18"/>
          <w:szCs w:val="18"/>
          <w:rtl/>
        </w:rPr>
        <w:t>(مختصر في قواعد التفسير)</w:t>
      </w:r>
    </w:p>
    <w:p w:rsidR="00DA2B05" w:rsidRPr="00DA2B05" w:rsidRDefault="00DA2B05" w:rsidP="00DA2B05">
      <w:pPr>
        <w:spacing w:after="120" w:line="240" w:lineRule="auto"/>
        <w:ind w:left="363" w:hanging="79"/>
        <w:jc w:val="lowKashida"/>
        <w:rPr>
          <w:rFonts w:asciiTheme="majorBidi" w:hAnsiTheme="majorBidi" w:cstheme="majorBidi"/>
          <w:b/>
          <w:bCs/>
          <w:sz w:val="18"/>
          <w:szCs w:val="18"/>
        </w:rPr>
      </w:pPr>
      <w:r w:rsidRPr="00DA2B05">
        <w:rPr>
          <w:rFonts w:asciiTheme="majorBidi" w:hAnsiTheme="majorBidi" w:cstheme="majorBidi"/>
          <w:b/>
          <w:bCs/>
          <w:sz w:val="18"/>
          <w:szCs w:val="18"/>
          <w:rtl/>
        </w:rPr>
        <w:t>خالد السبت، مطبعة ابن الجوزي، ١٤٢٣هـ.</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DA2B05">
        <w:rPr>
          <w:rFonts w:asciiTheme="majorBidi" w:hAnsiTheme="majorBidi" w:cstheme="majorBidi"/>
          <w:b/>
          <w:bCs/>
          <w:sz w:val="18"/>
          <w:szCs w:val="18"/>
          <w:rtl/>
        </w:rPr>
        <w:t>(الصحيح المسند من أسباب النزول)</w:t>
      </w:r>
    </w:p>
    <w:p w:rsidR="00DA2B05" w:rsidRPr="00DA2B05" w:rsidRDefault="00DA2B05" w:rsidP="00DA2B05">
      <w:pPr>
        <w:spacing w:after="120" w:line="240" w:lineRule="auto"/>
        <w:ind w:left="363" w:hanging="79"/>
        <w:jc w:val="lowKashida"/>
        <w:rPr>
          <w:rFonts w:asciiTheme="majorBidi" w:hAnsiTheme="majorBidi" w:cstheme="majorBidi"/>
          <w:b/>
          <w:bCs/>
          <w:sz w:val="18"/>
          <w:szCs w:val="18"/>
          <w:rtl/>
        </w:rPr>
      </w:pPr>
      <w:r w:rsidRPr="00DA2B05">
        <w:rPr>
          <w:rFonts w:asciiTheme="majorBidi" w:hAnsiTheme="majorBidi" w:cstheme="majorBidi"/>
          <w:b/>
          <w:bCs/>
          <w:sz w:val="18"/>
          <w:szCs w:val="18"/>
          <w:rtl/>
        </w:rPr>
        <w:t>مقبل بن هادي الوادعي، الرياض،  مكتبة المعارف، 1400هـ.</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(موسوعة فضائل سور وآيات القرآن)</w:t>
      </w:r>
    </w:p>
    <w:p w:rsidR="00DA2B05" w:rsidRPr="00DA2B05" w:rsidRDefault="00DA2B05" w:rsidP="00DA2B05">
      <w:pPr>
        <w:spacing w:after="120" w:line="240" w:lineRule="auto"/>
        <w:ind w:left="363" w:hanging="79"/>
        <w:jc w:val="lowKashida"/>
        <w:rPr>
          <w:rFonts w:asciiTheme="majorBidi" w:hAnsiTheme="majorBidi" w:cstheme="majorBidi"/>
          <w:b/>
          <w:bCs/>
          <w:sz w:val="18"/>
          <w:szCs w:val="18"/>
          <w:rtl/>
        </w:rPr>
      </w:pPr>
      <w:r w:rsidRPr="00DA2B05">
        <w:rPr>
          <w:rFonts w:asciiTheme="majorBidi" w:hAnsiTheme="majorBidi" w:cstheme="majorBidi"/>
          <w:b/>
          <w:bCs/>
          <w:sz w:val="18"/>
          <w:szCs w:val="18"/>
          <w:rtl/>
        </w:rPr>
        <w:t>محمد بن رزق الطرهوني، مكتبة العلم، 1994م.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(سنن القرّاء ومناهج المجوّدين)</w:t>
      </w:r>
    </w:p>
    <w:p w:rsidR="00DA2B05" w:rsidRPr="00DA2B05" w:rsidRDefault="00DA2B05" w:rsidP="00DA2B05">
      <w:pPr>
        <w:spacing w:after="120" w:line="240" w:lineRule="auto"/>
        <w:ind w:left="363" w:hanging="79"/>
        <w:jc w:val="lowKashida"/>
        <w:rPr>
          <w:rFonts w:asciiTheme="majorBidi" w:hAnsiTheme="majorBidi" w:cstheme="majorBidi"/>
          <w:b/>
          <w:bCs/>
          <w:sz w:val="18"/>
          <w:szCs w:val="18"/>
        </w:rPr>
      </w:pPr>
      <w:r w:rsidRPr="00DA2B05">
        <w:rPr>
          <w:rFonts w:asciiTheme="majorBidi" w:hAnsiTheme="majorBidi" w:cstheme="majorBidi"/>
          <w:b/>
          <w:bCs/>
          <w:sz w:val="18"/>
          <w:szCs w:val="18"/>
          <w:rtl/>
        </w:rPr>
        <w:t>عبد العزيز القارئ، مكتبة الدار للنشر والتوزيع، 2000م.</w:t>
      </w:r>
    </w:p>
    <w:p w:rsidR="00DA2B05" w:rsidRPr="00DA2B05" w:rsidRDefault="00DA2B05" w:rsidP="00DA2B0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A2B05">
        <w:rPr>
          <w:rFonts w:asciiTheme="majorBidi" w:hAnsiTheme="majorBidi" w:cstheme="majorBidi"/>
          <w:b/>
          <w:bCs/>
          <w:sz w:val="18"/>
          <w:szCs w:val="18"/>
          <w:rtl/>
        </w:rPr>
        <w:t>(النشر في القراءات العشر)</w:t>
      </w:r>
    </w:p>
    <w:p w:rsidR="00DA2B05" w:rsidRPr="00DA2B05" w:rsidRDefault="00DA2B05" w:rsidP="00DA2B05">
      <w:pPr>
        <w:spacing w:line="240" w:lineRule="auto"/>
        <w:jc w:val="both"/>
        <w:rPr>
          <w:rFonts w:asciiTheme="majorBidi" w:hAnsiTheme="majorBidi" w:cstheme="majorBidi"/>
          <w:b/>
          <w:bCs/>
          <w:sz w:val="18"/>
          <w:szCs w:val="18"/>
          <w:rtl/>
        </w:rPr>
      </w:pPr>
      <w:r w:rsidRPr="00DA2B05">
        <w:rPr>
          <w:rFonts w:asciiTheme="majorBidi" w:hAnsiTheme="majorBidi" w:cstheme="majorBidi"/>
          <w:b/>
          <w:bCs/>
          <w:sz w:val="18"/>
          <w:szCs w:val="18"/>
          <w:rtl/>
        </w:rPr>
        <w:t>محمد بن الجزري، المكتبة التجارية الكبرى، 1970م.</w:t>
      </w:r>
    </w:p>
    <w:p w:rsidR="00DA2B05" w:rsidRDefault="00DA2B05" w:rsidP="00DA2B05">
      <w:pPr>
        <w:rPr>
          <w:rFonts w:asciiTheme="majorBidi" w:hAnsiTheme="majorBidi" w:cstheme="majorBidi"/>
          <w:sz w:val="18"/>
          <w:szCs w:val="18"/>
          <w:rtl/>
          <w:lang w:bidi="ar-EG"/>
        </w:rPr>
        <w:sectPr w:rsidR="00DA2B05" w:rsidSect="00DA2B05">
          <w:type w:val="continuous"/>
          <w:pgSz w:w="11906" w:h="16838"/>
          <w:pgMar w:top="1440" w:right="1440" w:bottom="1440" w:left="1440" w:header="720" w:footer="720" w:gutter="0"/>
          <w:cols w:num="2" w:space="720"/>
          <w:bidi/>
          <w:rtlGutter/>
          <w:docGrid w:linePitch="360"/>
        </w:sectPr>
      </w:pPr>
    </w:p>
    <w:p w:rsidR="00DA2B05" w:rsidRPr="00DA2B05" w:rsidRDefault="00DA2B05" w:rsidP="00DA2B05">
      <w:pPr>
        <w:rPr>
          <w:rFonts w:asciiTheme="majorBidi" w:hAnsiTheme="majorBidi" w:cstheme="majorBidi"/>
          <w:sz w:val="18"/>
          <w:szCs w:val="18"/>
          <w:lang w:bidi="ar-EG"/>
        </w:rPr>
      </w:pPr>
    </w:p>
    <w:sectPr w:rsidR="00DA2B05" w:rsidRPr="00DA2B05" w:rsidSect="00DA2B05">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7907"/>
    <w:multiLevelType w:val="hybridMultilevel"/>
    <w:tmpl w:val="C1987392"/>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1">
    <w:nsid w:val="4A461ED3"/>
    <w:multiLevelType w:val="hybridMultilevel"/>
    <w:tmpl w:val="893C6592"/>
    <w:lvl w:ilvl="0" w:tplc="94D654B6">
      <w:start w:val="1"/>
      <w:numFmt w:val="decimal"/>
      <w:lvlRestart w:val="0"/>
      <w:lvlText w:val="%1."/>
      <w:lvlJc w:val="left"/>
      <w:pPr>
        <w:tabs>
          <w:tab w:val="num" w:pos="6"/>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394F0F"/>
    <w:multiLevelType w:val="hybridMultilevel"/>
    <w:tmpl w:val="812844E2"/>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DA2B05"/>
    <w:rsid w:val="00202F60"/>
    <w:rsid w:val="005C15CC"/>
    <w:rsid w:val="00655840"/>
    <w:rsid w:val="008A42BA"/>
    <w:rsid w:val="00B3032E"/>
    <w:rsid w:val="00C233A5"/>
    <w:rsid w:val="00DA2B05"/>
    <w:rsid w:val="00E209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DA2B05"/>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DA2B05"/>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DA2B05"/>
    <w:pPr>
      <w:ind w:left="720"/>
      <w:contextualSpacing/>
    </w:pPr>
  </w:style>
  <w:style w:type="paragraph" w:customStyle="1" w:styleId="a">
    <w:name w:val="سرد الفقرات"/>
    <w:basedOn w:val="Normal"/>
    <w:qFormat/>
    <w:rsid w:val="00DA2B05"/>
    <w:pPr>
      <w:ind w:left="720"/>
      <w:contextualSpacing/>
    </w:pPr>
    <w:rPr>
      <w:rFonts w:ascii="Calibri" w:eastAsia="Times New Roman" w:hAnsi="Calibri" w:cs="Arial"/>
    </w:rPr>
  </w:style>
  <w:style w:type="character" w:styleId="Hyperlink">
    <w:name w:val="Hyperlink"/>
    <w:basedOn w:val="DefaultParagraphFont"/>
    <w:rsid w:val="00202F6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el.mater@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4</cp:revision>
  <dcterms:created xsi:type="dcterms:W3CDTF">2013-06-01T14:51:00Z</dcterms:created>
  <dcterms:modified xsi:type="dcterms:W3CDTF">2013-06-24T10:58:00Z</dcterms:modified>
</cp:coreProperties>
</file>